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A0E8" w14:textId="7F5BA923" w:rsidR="0070482F" w:rsidRPr="007C3248" w:rsidRDefault="0070482F" w:rsidP="0070482F">
      <w:pPr>
        <w:pStyle w:val="Title"/>
        <w:spacing w:line="577" w:lineRule="exact"/>
        <w:ind w:left="224"/>
        <w:jc w:val="left"/>
        <w:rPr>
          <w:rFonts w:ascii="DeutscheBank" w:hAnsi="DeutscheBank" w:cs="Times New Roman"/>
        </w:rPr>
      </w:pPr>
    </w:p>
    <w:p w14:paraId="7A74A124" w14:textId="6756E4FA" w:rsidR="0070482F" w:rsidRPr="007C3248" w:rsidRDefault="0070482F" w:rsidP="0070482F">
      <w:pPr>
        <w:pStyle w:val="BodyText"/>
        <w:rPr>
          <w:rFonts w:ascii="DeutscheBank" w:hAnsi="DeutscheBank"/>
        </w:rPr>
      </w:pPr>
    </w:p>
    <w:p w14:paraId="0B9B3140" w14:textId="5BBD2357" w:rsidR="0070482F" w:rsidRPr="007C3248" w:rsidRDefault="0070482F" w:rsidP="0070482F">
      <w:pPr>
        <w:pStyle w:val="BodyText"/>
        <w:rPr>
          <w:rFonts w:ascii="DeutscheBank" w:hAnsi="DeutscheBank"/>
        </w:rPr>
      </w:pPr>
    </w:p>
    <w:p w14:paraId="02019833" w14:textId="12389CF8" w:rsidR="0070482F" w:rsidRPr="007C3248" w:rsidRDefault="0070482F" w:rsidP="0070482F">
      <w:pPr>
        <w:pStyle w:val="BodyText"/>
        <w:rPr>
          <w:rFonts w:ascii="DeutscheBank" w:hAnsi="DeutscheBank"/>
        </w:rPr>
      </w:pPr>
    </w:p>
    <w:p w14:paraId="20EA91AB" w14:textId="61E300BF" w:rsidR="0070482F" w:rsidRPr="007C3248" w:rsidRDefault="0070482F" w:rsidP="0070482F">
      <w:pPr>
        <w:pStyle w:val="BodyText"/>
        <w:rPr>
          <w:rFonts w:ascii="DeutscheBank" w:hAnsi="DeutscheBank"/>
        </w:rPr>
      </w:pPr>
    </w:p>
    <w:p w14:paraId="5CA07EFE" w14:textId="77777777" w:rsidR="0070482F" w:rsidRPr="007C3248" w:rsidRDefault="0070482F" w:rsidP="0070482F">
      <w:pPr>
        <w:pStyle w:val="BodyText"/>
        <w:rPr>
          <w:rFonts w:ascii="DeutscheBank" w:hAnsi="DeutscheBank"/>
        </w:rPr>
      </w:pPr>
    </w:p>
    <w:p w14:paraId="0F017FF5" w14:textId="27B640A4" w:rsidR="0070482F" w:rsidRPr="007C3248" w:rsidRDefault="0070482F" w:rsidP="0070482F">
      <w:pPr>
        <w:pStyle w:val="Title"/>
        <w:spacing w:line="577" w:lineRule="exact"/>
        <w:ind w:left="224"/>
        <w:jc w:val="left"/>
        <w:rPr>
          <w:rFonts w:ascii="DeutscheBank" w:eastAsia="Deutsche Bank Text" w:hAnsi="DeutscheBank" w:cs="Deutsche Bank Text"/>
          <w:b w:val="0"/>
          <w:bCs w:val="0"/>
          <w:sz w:val="48"/>
          <w:szCs w:val="48"/>
          <w:lang w:val="en-US" w:eastAsia="en-US" w:bidi="ar-SA"/>
        </w:rPr>
      </w:pPr>
      <w:r w:rsidRPr="007C3248">
        <w:rPr>
          <w:rFonts w:ascii="DeutscheBank" w:eastAsia="Deutsche Bank Text" w:hAnsi="DeutscheBank" w:cs="Deutsche Bank Text"/>
          <w:b w:val="0"/>
          <w:bCs w:val="0"/>
          <w:sz w:val="48"/>
          <w:szCs w:val="48"/>
          <w:lang w:val="en-US" w:eastAsia="en-US" w:bidi="ar-SA"/>
        </w:rPr>
        <w:t>Deutsche</w:t>
      </w:r>
      <w:r w:rsidRPr="007C3248">
        <w:rPr>
          <w:rFonts w:ascii="DeutscheBank" w:eastAsia="Deutsche Bank Text" w:hAnsi="DeutscheBank" w:cs="Deutsche Bank Text"/>
          <w:b w:val="0"/>
          <w:bCs w:val="0"/>
          <w:spacing w:val="-2"/>
          <w:sz w:val="48"/>
          <w:szCs w:val="48"/>
          <w:lang w:val="en-US" w:eastAsia="en-US" w:bidi="ar-SA"/>
        </w:rPr>
        <w:t xml:space="preserve"> </w:t>
      </w:r>
      <w:r w:rsidRPr="007C3248">
        <w:rPr>
          <w:rFonts w:ascii="DeutscheBank" w:eastAsia="Deutsche Bank Text" w:hAnsi="DeutscheBank" w:cs="Deutsche Bank Text"/>
          <w:b w:val="0"/>
          <w:bCs w:val="0"/>
          <w:spacing w:val="-4"/>
          <w:sz w:val="48"/>
          <w:szCs w:val="48"/>
          <w:lang w:val="en-US" w:eastAsia="en-US" w:bidi="ar-SA"/>
        </w:rPr>
        <w:t>Bank</w:t>
      </w:r>
    </w:p>
    <w:p w14:paraId="479685B0" w14:textId="73F27925" w:rsidR="0070482F" w:rsidRPr="007C3248" w:rsidRDefault="0070482F" w:rsidP="0070482F">
      <w:pPr>
        <w:widowControl w:val="0"/>
        <w:autoSpaceDE w:val="0"/>
        <w:autoSpaceDN w:val="0"/>
        <w:spacing w:before="22" w:after="0" w:line="247" w:lineRule="auto"/>
        <w:ind w:left="223"/>
        <w:jc w:val="left"/>
        <w:rPr>
          <w:rFonts w:ascii="DeutscheBank" w:eastAsia="Deutsche Bank Text" w:hAnsi="DeutscheBank" w:cs="Deutsche Bank Text"/>
          <w:sz w:val="48"/>
          <w:szCs w:val="48"/>
          <w:lang w:val="en-US" w:eastAsia="en-US" w:bidi="ar-SA"/>
        </w:rPr>
      </w:pPr>
      <w:bookmarkStart w:id="0" w:name="EMIR_Article_39(7)_and_MiFID_II_RTS_6_Ar"/>
      <w:bookmarkEnd w:id="0"/>
      <w:r w:rsidRPr="007C3248">
        <w:rPr>
          <w:rFonts w:ascii="DeutscheBank" w:eastAsia="Deutsche Bank Text" w:hAnsi="DeutscheBank" w:cs="Deutsche Bank Text"/>
          <w:sz w:val="48"/>
          <w:szCs w:val="48"/>
          <w:lang w:val="en-US" w:eastAsia="en-US" w:bidi="ar-SA"/>
        </w:rPr>
        <w:t>CCPR and EMIR</w:t>
      </w:r>
      <w:r w:rsidRPr="007C3248">
        <w:rPr>
          <w:rFonts w:ascii="DeutscheBank" w:eastAsia="Deutsche Bank Text" w:hAnsi="DeutscheBank" w:cs="Deutsche Bank Text"/>
          <w:spacing w:val="-1"/>
          <w:sz w:val="48"/>
          <w:szCs w:val="48"/>
          <w:lang w:val="en-US" w:eastAsia="en-US" w:bidi="ar-SA"/>
        </w:rPr>
        <w:t xml:space="preserve"> </w:t>
      </w:r>
      <w:r w:rsidRPr="007C3248">
        <w:rPr>
          <w:rFonts w:ascii="DeutscheBank" w:eastAsia="Deutsche Bank Text" w:hAnsi="DeutscheBank" w:cs="Deutsche Bank Text"/>
          <w:sz w:val="48"/>
          <w:szCs w:val="48"/>
          <w:lang w:val="en-US" w:eastAsia="en-US" w:bidi="ar-SA"/>
        </w:rPr>
        <w:t>Clearing</w:t>
      </w:r>
      <w:r w:rsidRPr="007C3248">
        <w:rPr>
          <w:rFonts w:ascii="DeutscheBank" w:eastAsia="Deutsche Bank Text" w:hAnsi="DeutscheBank" w:cs="Deutsche Bank Text"/>
          <w:spacing w:val="-2"/>
          <w:sz w:val="48"/>
          <w:szCs w:val="48"/>
          <w:lang w:val="en-US" w:eastAsia="en-US" w:bidi="ar-SA"/>
        </w:rPr>
        <w:t xml:space="preserve"> </w:t>
      </w:r>
      <w:r w:rsidRPr="007C3248">
        <w:rPr>
          <w:rFonts w:ascii="DeutscheBank" w:eastAsia="Deutsche Bank Text" w:hAnsi="DeutscheBank" w:cs="Deutsche Bank Text"/>
          <w:sz w:val="48"/>
          <w:szCs w:val="48"/>
          <w:lang w:val="en-US" w:eastAsia="en-US" w:bidi="ar-SA"/>
        </w:rPr>
        <w:t>Member</w:t>
      </w:r>
      <w:r w:rsidRPr="007C3248">
        <w:rPr>
          <w:rFonts w:ascii="DeutscheBank" w:eastAsia="Deutsche Bank Text" w:hAnsi="DeutscheBank" w:cs="Deutsche Bank Text"/>
          <w:spacing w:val="-3"/>
          <w:sz w:val="48"/>
          <w:szCs w:val="48"/>
          <w:lang w:val="en-US" w:eastAsia="en-US" w:bidi="ar-SA"/>
        </w:rPr>
        <w:t xml:space="preserve"> </w:t>
      </w:r>
      <w:r w:rsidRPr="007C3248">
        <w:rPr>
          <w:rFonts w:ascii="DeutscheBank" w:eastAsia="Deutsche Bank Text" w:hAnsi="DeutscheBank" w:cs="Deutsche Bank Text"/>
          <w:sz w:val="48"/>
          <w:szCs w:val="48"/>
          <w:lang w:val="en-US" w:eastAsia="en-US" w:bidi="ar-SA"/>
        </w:rPr>
        <w:t>Disclosure</w:t>
      </w:r>
      <w:r w:rsidRPr="007C3248">
        <w:rPr>
          <w:rFonts w:ascii="DeutscheBank" w:eastAsia="Deutsche Bank Text" w:hAnsi="DeutscheBank" w:cs="Deutsche Bank Text"/>
          <w:spacing w:val="-2"/>
          <w:sz w:val="48"/>
          <w:szCs w:val="48"/>
          <w:lang w:val="en-US" w:eastAsia="en-US" w:bidi="ar-SA"/>
        </w:rPr>
        <w:t xml:space="preserve"> Document</w:t>
      </w:r>
    </w:p>
    <w:p w14:paraId="749386CD" w14:textId="290C6BF9" w:rsidR="0070482F" w:rsidRPr="007C3248" w:rsidRDefault="00AE2444" w:rsidP="0070482F">
      <w:pPr>
        <w:widowControl w:val="0"/>
        <w:autoSpaceDE w:val="0"/>
        <w:autoSpaceDN w:val="0"/>
        <w:spacing w:before="54" w:after="0" w:line="240" w:lineRule="auto"/>
        <w:ind w:left="224"/>
        <w:jc w:val="left"/>
        <w:rPr>
          <w:rFonts w:ascii="DeutscheBank" w:eastAsia="Deutsche Bank Text" w:hAnsi="DeutscheBank" w:cs="Deutsche Bank Text"/>
          <w:sz w:val="32"/>
          <w:szCs w:val="22"/>
          <w:lang w:val="en-US" w:eastAsia="en-US" w:bidi="ar-SA"/>
        </w:rPr>
      </w:pPr>
      <w:r w:rsidRPr="007C3248">
        <w:rPr>
          <w:rFonts w:ascii="DeutscheBank" w:eastAsia="Deutsche Bank Text" w:hAnsi="DeutscheBank" w:cs="Deutsche Bank Text"/>
          <w:sz w:val="32"/>
          <w:szCs w:val="22"/>
          <w:lang w:val="en-US" w:eastAsia="en-US" w:bidi="ar-SA"/>
        </w:rPr>
        <w:t>Dece</w:t>
      </w:r>
      <w:r w:rsidR="0070482F" w:rsidRPr="007C3248">
        <w:rPr>
          <w:rFonts w:ascii="DeutscheBank" w:eastAsia="Deutsche Bank Text" w:hAnsi="DeutscheBank" w:cs="Deutsche Bank Text"/>
          <w:sz w:val="32"/>
          <w:szCs w:val="22"/>
          <w:lang w:val="en-US" w:eastAsia="en-US" w:bidi="ar-SA"/>
        </w:rPr>
        <w:t>mber</w:t>
      </w:r>
      <w:r w:rsidR="0070482F" w:rsidRPr="007C3248">
        <w:rPr>
          <w:rFonts w:ascii="DeutscheBank" w:eastAsia="Deutsche Bank Text" w:hAnsi="DeutscheBank" w:cs="Deutsche Bank Text"/>
          <w:spacing w:val="-5"/>
          <w:sz w:val="32"/>
          <w:szCs w:val="22"/>
          <w:lang w:val="en-US" w:eastAsia="en-US" w:bidi="ar-SA"/>
        </w:rPr>
        <w:t xml:space="preserve"> </w:t>
      </w:r>
      <w:r w:rsidR="0070482F" w:rsidRPr="007C3248">
        <w:rPr>
          <w:rFonts w:ascii="DeutscheBank" w:eastAsia="Deutsche Bank Text" w:hAnsi="DeutscheBank" w:cs="Deutsche Bank Text"/>
          <w:spacing w:val="-4"/>
          <w:sz w:val="32"/>
          <w:szCs w:val="22"/>
          <w:lang w:val="en-US" w:eastAsia="en-US" w:bidi="ar-SA"/>
        </w:rPr>
        <w:t>202</w:t>
      </w:r>
      <w:r w:rsidRPr="007C3248">
        <w:rPr>
          <w:rFonts w:ascii="DeutscheBank" w:eastAsia="Deutsche Bank Text" w:hAnsi="DeutscheBank" w:cs="Deutsche Bank Text"/>
          <w:spacing w:val="-4"/>
          <w:sz w:val="32"/>
          <w:szCs w:val="22"/>
          <w:lang w:val="en-US" w:eastAsia="en-US" w:bidi="ar-SA"/>
        </w:rPr>
        <w:t>4</w:t>
      </w:r>
    </w:p>
    <w:p w14:paraId="66873374" w14:textId="5AA76CD1" w:rsidR="00775796" w:rsidRPr="007C3248" w:rsidRDefault="00775796" w:rsidP="00CE4BB0">
      <w:pPr>
        <w:pStyle w:val="BodyText"/>
        <w:rPr>
          <w:rFonts w:ascii="DeutscheBank" w:hAnsi="DeutscheBank"/>
        </w:rPr>
      </w:pPr>
    </w:p>
    <w:p w14:paraId="2B93C066" w14:textId="77777777" w:rsidR="0070482F" w:rsidRPr="007C3248" w:rsidRDefault="0070482F">
      <w:pPr>
        <w:spacing w:after="0" w:line="240" w:lineRule="auto"/>
        <w:jc w:val="left"/>
        <w:rPr>
          <w:rFonts w:ascii="DeutscheBank" w:hAnsi="DeutscheBank"/>
          <w:b/>
          <w:bCs/>
        </w:rPr>
      </w:pPr>
      <w:r w:rsidRPr="007C3248">
        <w:rPr>
          <w:rFonts w:ascii="DeutscheBank" w:hAnsi="DeutscheBank"/>
          <w:b/>
          <w:bCs/>
        </w:rPr>
        <w:br w:type="page"/>
      </w:r>
    </w:p>
    <w:p w14:paraId="31AEBC64" w14:textId="35545FB2" w:rsidR="00466BCE" w:rsidRPr="007C3248" w:rsidRDefault="00FE1C60" w:rsidP="00FE1C60">
      <w:pPr>
        <w:pStyle w:val="BodyText"/>
        <w:jc w:val="center"/>
        <w:rPr>
          <w:rFonts w:ascii="DeutscheBank" w:hAnsi="DeutscheBank"/>
          <w:b/>
          <w:bCs/>
        </w:rPr>
      </w:pPr>
      <w:r w:rsidRPr="007C3248">
        <w:rPr>
          <w:rFonts w:ascii="DeutscheBank" w:hAnsi="DeutscheBank"/>
          <w:b/>
          <w:bCs/>
        </w:rPr>
        <w:lastRenderedPageBreak/>
        <w:t>I. CCP</w:t>
      </w:r>
      <w:r w:rsidR="00466BCE" w:rsidRPr="007C3248">
        <w:rPr>
          <w:rFonts w:ascii="DeutscheBank" w:hAnsi="DeutscheBank"/>
          <w:b/>
          <w:bCs/>
        </w:rPr>
        <w:t>R</w:t>
      </w:r>
      <w:r w:rsidR="004E2090" w:rsidRPr="007C3248">
        <w:rPr>
          <w:rFonts w:ascii="DeutscheBank" w:hAnsi="DeutscheBank"/>
          <w:b/>
          <w:bCs/>
        </w:rPr>
        <w:t xml:space="preserve"> Background</w:t>
      </w:r>
    </w:p>
    <w:p w14:paraId="214E55CB" w14:textId="7E5E8B7F" w:rsidR="00004219" w:rsidRPr="007C3248" w:rsidRDefault="00004219" w:rsidP="00FE1C60">
      <w:pPr>
        <w:pStyle w:val="BodyText"/>
        <w:jc w:val="center"/>
        <w:rPr>
          <w:rFonts w:ascii="DeutscheBank" w:hAnsi="DeutscheBank"/>
          <w:b/>
          <w:bCs/>
        </w:rPr>
      </w:pPr>
    </w:p>
    <w:p w14:paraId="3A6B45DD" w14:textId="3EF09DE3" w:rsidR="00CE4BB0" w:rsidRPr="007C3248" w:rsidRDefault="00C00B39" w:rsidP="00CE4BB0">
      <w:pPr>
        <w:pStyle w:val="BodyText"/>
        <w:rPr>
          <w:rFonts w:ascii="DeutscheBank" w:hAnsi="DeutscheBank"/>
        </w:rPr>
      </w:pPr>
      <w:r w:rsidRPr="007C3248">
        <w:rPr>
          <w:rFonts w:ascii="DeutscheBank" w:hAnsi="DeutscheBank"/>
        </w:rPr>
        <w:t>The EU CCP Recovery and Resolution Regulation (“</w:t>
      </w:r>
      <w:r w:rsidR="00CE4BB0" w:rsidRPr="007C3248">
        <w:rPr>
          <w:rFonts w:ascii="DeutscheBank" w:hAnsi="DeutscheBank"/>
        </w:rPr>
        <w:t>CCPR</w:t>
      </w:r>
      <w:r w:rsidRPr="007C3248">
        <w:rPr>
          <w:rFonts w:ascii="DeutscheBank" w:hAnsi="DeutscheBank"/>
        </w:rPr>
        <w:t>”</w:t>
      </w:r>
      <w:r w:rsidR="004E2090" w:rsidRPr="007C3248">
        <w:rPr>
          <w:rFonts w:ascii="DeutscheBank" w:hAnsi="DeutscheBank"/>
        </w:rPr>
        <w:t>)</w:t>
      </w:r>
      <w:r w:rsidR="00CE4BB0" w:rsidRPr="007C3248">
        <w:rPr>
          <w:rFonts w:ascii="DeutscheBank" w:hAnsi="DeutscheBank"/>
        </w:rPr>
        <w:t xml:space="preserve"> establishes a harmonised framework for the recovery and resolution of EU </w:t>
      </w:r>
      <w:r w:rsidR="00737842" w:rsidRPr="007C3248">
        <w:rPr>
          <w:rFonts w:ascii="DeutscheBank" w:hAnsi="DeutscheBank"/>
        </w:rPr>
        <w:t>CCPs</w:t>
      </w:r>
      <w:r w:rsidR="00CE4BB0" w:rsidRPr="007C3248">
        <w:rPr>
          <w:rFonts w:ascii="DeutscheBank" w:hAnsi="DeutscheBank"/>
        </w:rPr>
        <w:t>. CCPR is intended to ensure that both CCPs and their regulators will act decisively in a crisis scenario to keep CCPs providing their critical functions and to limit the impact on the financial system and on public funds.</w:t>
      </w:r>
    </w:p>
    <w:p w14:paraId="4063F50B" w14:textId="459BCB1A" w:rsidR="00CE4BB0" w:rsidRPr="007C3248" w:rsidRDefault="00CE4BB0" w:rsidP="00CE4BB0">
      <w:pPr>
        <w:pStyle w:val="BodyText"/>
        <w:rPr>
          <w:rFonts w:ascii="DeutscheBank" w:hAnsi="DeutscheBank"/>
        </w:rPr>
      </w:pPr>
      <w:r w:rsidRPr="007C3248">
        <w:rPr>
          <w:rFonts w:ascii="DeutscheBank" w:hAnsi="DeutscheBank"/>
        </w:rPr>
        <w:t xml:space="preserve">CCPR </w:t>
      </w:r>
      <w:r w:rsidR="007A6E31" w:rsidRPr="007C3248">
        <w:rPr>
          <w:rFonts w:ascii="DeutscheBank" w:hAnsi="DeutscheBank"/>
        </w:rPr>
        <w:t>comprises</w:t>
      </w:r>
      <w:r w:rsidRPr="007C3248">
        <w:rPr>
          <w:rFonts w:ascii="DeutscheBank" w:hAnsi="DeutscheBank"/>
        </w:rPr>
        <w:t xml:space="preserve"> the following three pillars: </w:t>
      </w:r>
    </w:p>
    <w:p w14:paraId="55BC84F5" w14:textId="603771BE" w:rsidR="00CE4BB0" w:rsidRPr="007C3248" w:rsidRDefault="00CE4BB0" w:rsidP="00CE4BB0">
      <w:pPr>
        <w:pStyle w:val="ParagraphL1"/>
        <w:rPr>
          <w:rFonts w:ascii="DeutscheBank" w:hAnsi="DeutscheBank"/>
        </w:rPr>
      </w:pPr>
      <w:r w:rsidRPr="007C3248">
        <w:rPr>
          <w:rFonts w:ascii="DeutscheBank" w:hAnsi="DeutscheBank"/>
          <w:b/>
          <w:bCs/>
        </w:rPr>
        <w:t>Preparation</w:t>
      </w:r>
      <w:r w:rsidR="00934742">
        <w:rPr>
          <w:rFonts w:ascii="DeutscheBank" w:hAnsi="DeutscheBank"/>
        </w:rPr>
        <w:t xml:space="preserve"> </w:t>
      </w:r>
    </w:p>
    <w:p w14:paraId="2A6E0CA7" w14:textId="1844D57B" w:rsidR="00450997" w:rsidRPr="007C3248" w:rsidRDefault="00450997" w:rsidP="00450997">
      <w:pPr>
        <w:pStyle w:val="ParagraphL2"/>
        <w:rPr>
          <w:rFonts w:ascii="DeutscheBank" w:hAnsi="DeutscheBank"/>
          <w:b/>
          <w:bCs/>
        </w:rPr>
      </w:pPr>
      <w:r w:rsidRPr="007C3248">
        <w:rPr>
          <w:rFonts w:ascii="DeutscheBank" w:hAnsi="DeutscheBank"/>
          <w:b/>
          <w:bCs/>
        </w:rPr>
        <w:t xml:space="preserve">Recovery </w:t>
      </w:r>
      <w:r w:rsidR="002E05C8" w:rsidRPr="007C3248">
        <w:rPr>
          <w:rFonts w:ascii="DeutscheBank" w:hAnsi="DeutscheBank"/>
          <w:b/>
          <w:bCs/>
        </w:rPr>
        <w:t>p</w:t>
      </w:r>
      <w:r w:rsidRPr="007C3248">
        <w:rPr>
          <w:rFonts w:ascii="DeutscheBank" w:hAnsi="DeutscheBank"/>
          <w:b/>
          <w:bCs/>
        </w:rPr>
        <w:t>lans</w:t>
      </w:r>
    </w:p>
    <w:p w14:paraId="6A8E1732" w14:textId="01185EAA" w:rsidR="00450997" w:rsidRPr="007C3248" w:rsidRDefault="00CE4BB0" w:rsidP="00CE4BB0">
      <w:pPr>
        <w:pStyle w:val="BodyText1"/>
        <w:rPr>
          <w:rFonts w:ascii="DeutscheBank" w:hAnsi="DeutscheBank"/>
          <w:highlight w:val="yellow"/>
        </w:rPr>
      </w:pPr>
      <w:r w:rsidRPr="007C3248">
        <w:rPr>
          <w:rFonts w:ascii="DeutscheBank" w:hAnsi="DeutscheBank"/>
        </w:rPr>
        <w:t xml:space="preserve">CCPs are required to prepare recovery plans setting out measures they would take in crisis scenarios to restore their financial soundness and continue providing their critical functions. </w:t>
      </w:r>
      <w:r w:rsidR="00E72644" w:rsidRPr="007C3248">
        <w:rPr>
          <w:rFonts w:ascii="DeutscheBank" w:hAnsi="DeutscheBank"/>
        </w:rPr>
        <w:t xml:space="preserve">Recovery plans are not standardised and will likely differ from CCP to CCP. </w:t>
      </w:r>
      <w:r w:rsidR="00450997" w:rsidRPr="007C3248">
        <w:rPr>
          <w:rFonts w:ascii="DeutscheBank" w:hAnsi="DeutscheBank"/>
        </w:rPr>
        <w:t xml:space="preserve">CCP </w:t>
      </w:r>
      <w:r w:rsidR="00E72644" w:rsidRPr="007C3248">
        <w:rPr>
          <w:rFonts w:ascii="DeutscheBank" w:hAnsi="DeutscheBank"/>
        </w:rPr>
        <w:t>Recovery plans are required to include a comprehensive range of</w:t>
      </w:r>
      <w:r w:rsidR="00450997" w:rsidRPr="007C3248">
        <w:rPr>
          <w:rFonts w:ascii="DeutscheBank" w:hAnsi="DeutscheBank"/>
        </w:rPr>
        <w:t>:</w:t>
      </w:r>
    </w:p>
    <w:p w14:paraId="3527E431" w14:textId="309E4352" w:rsidR="00450997" w:rsidRPr="007C3248" w:rsidRDefault="00E72644" w:rsidP="00450997">
      <w:pPr>
        <w:pStyle w:val="ParagraphL3"/>
        <w:rPr>
          <w:rFonts w:ascii="DeutscheBank" w:hAnsi="DeutscheBank"/>
        </w:rPr>
      </w:pPr>
      <w:r w:rsidRPr="007C3248">
        <w:rPr>
          <w:rFonts w:ascii="DeutscheBank" w:hAnsi="DeutscheBank"/>
        </w:rPr>
        <w:t>capital actions</w:t>
      </w:r>
      <w:r w:rsidR="006950B4" w:rsidRPr="007C3248">
        <w:rPr>
          <w:rFonts w:ascii="DeutscheBank" w:hAnsi="DeutscheBank"/>
        </w:rPr>
        <w:t>;</w:t>
      </w:r>
    </w:p>
    <w:p w14:paraId="3D0B0EE1" w14:textId="3E285FA6" w:rsidR="00450997" w:rsidRPr="007C3248" w:rsidRDefault="00E72644" w:rsidP="00450997">
      <w:pPr>
        <w:pStyle w:val="ParagraphL3"/>
        <w:rPr>
          <w:rFonts w:ascii="DeutscheBank" w:hAnsi="DeutscheBank"/>
        </w:rPr>
      </w:pPr>
      <w:r w:rsidRPr="007C3248">
        <w:rPr>
          <w:rFonts w:ascii="DeutscheBank" w:hAnsi="DeutscheBank"/>
        </w:rPr>
        <w:t>loss allocation actions (including recovery cash calls and a reduction in the value of gains payable by the CCP to non-defaulting clearing members)</w:t>
      </w:r>
      <w:r w:rsidR="006950B4" w:rsidRPr="007C3248">
        <w:rPr>
          <w:rFonts w:ascii="DeutscheBank" w:hAnsi="DeutscheBank"/>
        </w:rPr>
        <w:t>;</w:t>
      </w:r>
    </w:p>
    <w:p w14:paraId="1C38ACD9" w14:textId="77777777" w:rsidR="00450997" w:rsidRPr="007C3248" w:rsidRDefault="00E72644" w:rsidP="00450997">
      <w:pPr>
        <w:pStyle w:val="ParagraphL3"/>
        <w:rPr>
          <w:rFonts w:ascii="DeutscheBank" w:hAnsi="DeutscheBank"/>
        </w:rPr>
      </w:pPr>
      <w:r w:rsidRPr="007C3248">
        <w:rPr>
          <w:rFonts w:ascii="DeutscheBank" w:hAnsi="DeutscheBank"/>
        </w:rPr>
        <w:t>position allocation actions</w:t>
      </w:r>
      <w:r w:rsidR="00450997" w:rsidRPr="007C3248">
        <w:rPr>
          <w:rFonts w:ascii="DeutscheBank" w:hAnsi="DeutscheBank"/>
        </w:rPr>
        <w:t>;</w:t>
      </w:r>
      <w:r w:rsidRPr="007C3248">
        <w:rPr>
          <w:rFonts w:ascii="DeutscheBank" w:hAnsi="DeutscheBank"/>
        </w:rPr>
        <w:t xml:space="preserve"> and </w:t>
      </w:r>
    </w:p>
    <w:p w14:paraId="47E3175F" w14:textId="77777777" w:rsidR="004A713C" w:rsidRPr="007C3248" w:rsidRDefault="00E72644" w:rsidP="004A713C">
      <w:pPr>
        <w:pStyle w:val="ParagraphL3"/>
        <w:rPr>
          <w:rFonts w:ascii="DeutscheBank" w:hAnsi="DeutscheBank"/>
        </w:rPr>
      </w:pPr>
      <w:r w:rsidRPr="007C3248">
        <w:rPr>
          <w:rFonts w:ascii="DeutscheBank" w:hAnsi="DeutscheBank"/>
        </w:rPr>
        <w:t>liquidity actions</w:t>
      </w:r>
      <w:r w:rsidR="004A713C" w:rsidRPr="007C3248">
        <w:rPr>
          <w:rFonts w:ascii="DeutscheBank" w:hAnsi="DeutscheBank"/>
        </w:rPr>
        <w:t xml:space="preserve">, </w:t>
      </w:r>
    </w:p>
    <w:p w14:paraId="3C457C4D" w14:textId="342212AE" w:rsidR="00CE4BB0" w:rsidRPr="007C3248" w:rsidRDefault="004A713C" w:rsidP="00A746F5">
      <w:pPr>
        <w:pStyle w:val="ParagraphL3"/>
        <w:numPr>
          <w:ilvl w:val="0"/>
          <w:numId w:val="0"/>
        </w:numPr>
        <w:ind w:firstLine="720"/>
        <w:rPr>
          <w:rFonts w:ascii="DeutscheBank" w:hAnsi="DeutscheBank"/>
        </w:rPr>
      </w:pPr>
      <w:r w:rsidRPr="007C3248">
        <w:rPr>
          <w:rFonts w:ascii="DeutscheBank" w:hAnsi="DeutscheBank"/>
        </w:rPr>
        <w:t>to maintain or restore the viability and financial soundness of the CCP</w:t>
      </w:r>
      <w:r w:rsidR="00E72644" w:rsidRPr="007C3248">
        <w:rPr>
          <w:rFonts w:ascii="DeutscheBank" w:hAnsi="DeutscheBank"/>
        </w:rPr>
        <w:t>.</w:t>
      </w:r>
    </w:p>
    <w:p w14:paraId="09167D42" w14:textId="6995311C" w:rsidR="00450997" w:rsidRPr="007C3248" w:rsidRDefault="00450997" w:rsidP="00450997">
      <w:pPr>
        <w:pStyle w:val="ParagraphL2"/>
        <w:rPr>
          <w:rFonts w:ascii="DeutscheBank" w:hAnsi="DeutscheBank"/>
          <w:b/>
          <w:bCs/>
        </w:rPr>
      </w:pPr>
      <w:r w:rsidRPr="007C3248">
        <w:rPr>
          <w:rFonts w:ascii="DeutscheBank" w:hAnsi="DeutscheBank"/>
          <w:b/>
          <w:bCs/>
        </w:rPr>
        <w:t xml:space="preserve">Resolution </w:t>
      </w:r>
      <w:r w:rsidR="002E05C8" w:rsidRPr="007C3248">
        <w:rPr>
          <w:rFonts w:ascii="DeutscheBank" w:hAnsi="DeutscheBank"/>
          <w:b/>
          <w:bCs/>
        </w:rPr>
        <w:t>p</w:t>
      </w:r>
      <w:r w:rsidRPr="007C3248">
        <w:rPr>
          <w:rFonts w:ascii="DeutscheBank" w:hAnsi="DeutscheBank"/>
          <w:b/>
          <w:bCs/>
        </w:rPr>
        <w:t>lans</w:t>
      </w:r>
    </w:p>
    <w:p w14:paraId="50BE72E2" w14:textId="02E6AF09" w:rsidR="00CE4BB0" w:rsidRPr="007C3248" w:rsidRDefault="00CE4BB0" w:rsidP="00CE4BB0">
      <w:pPr>
        <w:pStyle w:val="BodyText1"/>
        <w:rPr>
          <w:rFonts w:ascii="DeutscheBank" w:hAnsi="DeutscheBank"/>
        </w:rPr>
      </w:pPr>
      <w:r w:rsidRPr="007C3248">
        <w:rPr>
          <w:rFonts w:ascii="DeutscheBank" w:hAnsi="DeutscheBank"/>
        </w:rPr>
        <w:t>Resolution authorities are required to prepare resolution plans setting out the resolution actions they would take if the CCP were likely to fail</w:t>
      </w:r>
      <w:r w:rsidR="007A6E31" w:rsidRPr="007C3248">
        <w:rPr>
          <w:rFonts w:ascii="DeutscheBank" w:hAnsi="DeutscheBank"/>
        </w:rPr>
        <w:t>, in order</w:t>
      </w:r>
      <w:r w:rsidRPr="007C3248">
        <w:rPr>
          <w:rFonts w:ascii="DeutscheBank" w:hAnsi="DeutscheBank"/>
        </w:rPr>
        <w:t xml:space="preserve"> to keep the CCP providing its critical functions and to limit the impact on the financial system and on public funds.</w:t>
      </w:r>
    </w:p>
    <w:p w14:paraId="66D58E0F" w14:textId="1F3089DD" w:rsidR="00450997" w:rsidRPr="007C3248" w:rsidRDefault="00450997" w:rsidP="00450997">
      <w:pPr>
        <w:pStyle w:val="ParagraphL2"/>
        <w:rPr>
          <w:rFonts w:ascii="DeutscheBank" w:hAnsi="DeutscheBank"/>
          <w:b/>
          <w:bCs/>
        </w:rPr>
      </w:pPr>
      <w:r w:rsidRPr="007C3248">
        <w:rPr>
          <w:rFonts w:ascii="DeutscheBank" w:hAnsi="DeutscheBank"/>
          <w:b/>
          <w:bCs/>
        </w:rPr>
        <w:lastRenderedPageBreak/>
        <w:t>Resolvability</w:t>
      </w:r>
    </w:p>
    <w:p w14:paraId="354A2AEF" w14:textId="77777777" w:rsidR="00CE4BB0" w:rsidRPr="007C3248" w:rsidRDefault="00CE4BB0" w:rsidP="00CE4BB0">
      <w:pPr>
        <w:pStyle w:val="BodyText1"/>
        <w:rPr>
          <w:rFonts w:ascii="DeutscheBank" w:hAnsi="DeutscheBank"/>
        </w:rPr>
      </w:pPr>
      <w:r w:rsidRPr="007C3248">
        <w:rPr>
          <w:rFonts w:ascii="DeutscheBank" w:hAnsi="DeutscheBank"/>
        </w:rPr>
        <w:t>Where a resolution authority identifies obstacles to the resolvability of a CCP in the course of the planning process, it can also require the CCP to take appropriate measures. These measures may include changes to the CCP's operational or legal structure or to its pre-funded loss-absorbing resources.</w:t>
      </w:r>
    </w:p>
    <w:p w14:paraId="795DDCB3" w14:textId="19A39C2A" w:rsidR="00CE4BB0" w:rsidRPr="007C3248" w:rsidRDefault="00CE4BB0" w:rsidP="00CE4BB0">
      <w:pPr>
        <w:pStyle w:val="ParagraphL1"/>
        <w:rPr>
          <w:rFonts w:ascii="DeutscheBank" w:hAnsi="DeutscheBank"/>
        </w:rPr>
      </w:pPr>
      <w:r w:rsidRPr="007C3248">
        <w:rPr>
          <w:rFonts w:ascii="DeutscheBank" w:hAnsi="DeutscheBank"/>
          <w:b/>
          <w:bCs/>
        </w:rPr>
        <w:t>Early intervention</w:t>
      </w:r>
      <w:r w:rsidRPr="007C3248">
        <w:rPr>
          <w:rFonts w:ascii="DeutscheBank" w:hAnsi="DeutscheBank"/>
        </w:rPr>
        <w:t xml:space="preserve"> </w:t>
      </w:r>
    </w:p>
    <w:p w14:paraId="20E8C2FA" w14:textId="77777777" w:rsidR="00CE4BB0" w:rsidRPr="007C3248" w:rsidRDefault="00CE4BB0" w:rsidP="00A746F5">
      <w:pPr>
        <w:pStyle w:val="BodyText1"/>
        <w:ind w:left="0"/>
        <w:rPr>
          <w:rFonts w:ascii="DeutscheBank" w:hAnsi="DeutscheBank"/>
        </w:rPr>
      </w:pPr>
      <w:r w:rsidRPr="007C3248">
        <w:rPr>
          <w:rFonts w:ascii="DeutscheBank" w:hAnsi="DeutscheBank"/>
        </w:rPr>
        <w:t>Where a CCP is about to breach its prudential requirements, CCPR gives regulators powers to intervene before the problems become critical and the financial situation deteriorates irreparably. These powers may include requiring a CCP to undertake specific actions envisaged in its recovery plan or to make changes to its business strategy or legal or operational structure.</w:t>
      </w:r>
    </w:p>
    <w:p w14:paraId="1C8CC5B7" w14:textId="1683B082" w:rsidR="00CE4BB0" w:rsidRPr="007C3248" w:rsidRDefault="00CE4BB0" w:rsidP="00CE4BB0">
      <w:pPr>
        <w:pStyle w:val="ParagraphL1"/>
        <w:rPr>
          <w:rFonts w:ascii="DeutscheBank" w:hAnsi="DeutscheBank"/>
        </w:rPr>
      </w:pPr>
      <w:r w:rsidRPr="007C3248">
        <w:rPr>
          <w:rFonts w:ascii="DeutscheBank" w:hAnsi="DeutscheBank"/>
          <w:b/>
          <w:bCs/>
        </w:rPr>
        <w:t>Resolution</w:t>
      </w:r>
    </w:p>
    <w:p w14:paraId="5F89CF9A" w14:textId="77777777" w:rsidR="00CE4BB0" w:rsidRPr="007C3248" w:rsidRDefault="00CE4BB0" w:rsidP="00A746F5">
      <w:pPr>
        <w:pStyle w:val="BodyText1"/>
        <w:ind w:left="0"/>
        <w:rPr>
          <w:rFonts w:ascii="DeutscheBank" w:hAnsi="DeutscheBank"/>
        </w:rPr>
      </w:pPr>
      <w:r w:rsidRPr="007C3248">
        <w:rPr>
          <w:rFonts w:ascii="DeutscheBank" w:hAnsi="DeutscheBank"/>
        </w:rPr>
        <w:t xml:space="preserve">CCPR gives resolution authorities resolution tools to manage the failure of a CCP in an orderly way and to ensure that essential clearing functions and services are preserved. </w:t>
      </w:r>
    </w:p>
    <w:p w14:paraId="44EE23C8" w14:textId="77777777" w:rsidR="00CE4BB0" w:rsidRPr="007C3248" w:rsidRDefault="00CE4BB0" w:rsidP="00A746F5">
      <w:pPr>
        <w:pStyle w:val="BodyText1"/>
        <w:ind w:left="0"/>
        <w:rPr>
          <w:rFonts w:ascii="DeutscheBank" w:hAnsi="DeutscheBank"/>
        </w:rPr>
      </w:pPr>
      <w:r w:rsidRPr="007C3248">
        <w:rPr>
          <w:rFonts w:ascii="DeutscheBank" w:hAnsi="DeutscheBank"/>
        </w:rPr>
        <w:t xml:space="preserve">Specifically, CCPR envisages the following resolution tools: </w:t>
      </w:r>
    </w:p>
    <w:p w14:paraId="7EDF8B84" w14:textId="2070169B" w:rsidR="00CE4BB0" w:rsidRPr="007C3248" w:rsidRDefault="00CE4BB0" w:rsidP="00CE4BB0">
      <w:pPr>
        <w:pStyle w:val="ParagraphL2"/>
        <w:rPr>
          <w:rFonts w:ascii="DeutscheBank" w:hAnsi="DeutscheBank"/>
        </w:rPr>
      </w:pPr>
      <w:r w:rsidRPr="007C3248">
        <w:rPr>
          <w:rFonts w:ascii="DeutscheBank" w:hAnsi="DeutscheBank"/>
        </w:rPr>
        <w:t xml:space="preserve">the </w:t>
      </w:r>
      <w:r w:rsidRPr="007C3248">
        <w:rPr>
          <w:rFonts w:ascii="DeutscheBank" w:hAnsi="DeutscheBank"/>
          <w:b/>
          <w:bCs/>
        </w:rPr>
        <w:t>position and loss allocation tools</w:t>
      </w:r>
      <w:r w:rsidRPr="007C3248">
        <w:rPr>
          <w:rFonts w:ascii="DeutscheBank" w:hAnsi="DeutscheBank"/>
        </w:rPr>
        <w:t>, including:</w:t>
      </w:r>
    </w:p>
    <w:p w14:paraId="2E086FB7" w14:textId="26AC98E4" w:rsidR="00CE4BB0" w:rsidRPr="007C3248" w:rsidRDefault="00CE4BB0" w:rsidP="00CE4BB0">
      <w:pPr>
        <w:pStyle w:val="ParagraphL3"/>
        <w:rPr>
          <w:rFonts w:ascii="DeutscheBank" w:hAnsi="DeutscheBank"/>
        </w:rPr>
      </w:pPr>
      <w:bookmarkStart w:id="1" w:name="_Ref110974495"/>
      <w:r w:rsidRPr="007C3248">
        <w:rPr>
          <w:rFonts w:ascii="DeutscheBank" w:hAnsi="DeutscheBank"/>
        </w:rPr>
        <w:t xml:space="preserve">the </w:t>
      </w:r>
      <w:r w:rsidRPr="007C3248">
        <w:rPr>
          <w:rFonts w:ascii="DeutscheBank" w:hAnsi="DeutscheBank"/>
          <w:b/>
          <w:bCs/>
        </w:rPr>
        <w:t>tear-up tool</w:t>
      </w:r>
      <w:r w:rsidRPr="007C3248">
        <w:rPr>
          <w:rFonts w:ascii="DeutscheBank" w:hAnsi="DeutscheBank"/>
        </w:rPr>
        <w:t>: This resolution tool allows the resolution authority to terminate specific clearing contracts to balance the books of the CCP. In practice, this tool would be used by a resolution authority if a clearing member defaults and its positions cannot be auctioned off. In these circumstances, the resolution authority would terminate</w:t>
      </w:r>
      <w:r w:rsidR="0038775B" w:rsidRPr="007C3248">
        <w:rPr>
          <w:rFonts w:ascii="DeutscheBank" w:hAnsi="DeutscheBank"/>
        </w:rPr>
        <w:t xml:space="preserve"> </w:t>
      </w:r>
      <w:r w:rsidRPr="007C3248">
        <w:rPr>
          <w:rFonts w:ascii="DeutscheBank" w:hAnsi="DeutscheBank"/>
        </w:rPr>
        <w:t>corresponding opposing positions to re-balance the CCP's books.</w:t>
      </w:r>
      <w:bookmarkEnd w:id="1"/>
      <w:r w:rsidR="0038775B" w:rsidRPr="007C3248">
        <w:rPr>
          <w:rFonts w:ascii="DeutscheBank" w:hAnsi="DeutscheBank"/>
        </w:rPr>
        <w:t xml:space="preserve"> </w:t>
      </w:r>
    </w:p>
    <w:p w14:paraId="1DC2C93D" w14:textId="5CD645A1" w:rsidR="00CE4BB0" w:rsidRPr="007C3248" w:rsidRDefault="00CE4BB0" w:rsidP="00CE4BB0">
      <w:pPr>
        <w:pStyle w:val="ParagraphL3"/>
        <w:rPr>
          <w:rFonts w:ascii="DeutscheBank" w:hAnsi="DeutscheBank"/>
        </w:rPr>
      </w:pPr>
      <w:bookmarkStart w:id="2" w:name="_Ref110975172"/>
      <w:r w:rsidRPr="007C3248">
        <w:rPr>
          <w:rFonts w:ascii="DeutscheBank" w:hAnsi="DeutscheBank"/>
        </w:rPr>
        <w:t xml:space="preserve">the </w:t>
      </w:r>
      <w:r w:rsidRPr="007C3248">
        <w:rPr>
          <w:rFonts w:ascii="DeutscheBank" w:hAnsi="DeutscheBank"/>
          <w:b/>
          <w:bCs/>
        </w:rPr>
        <w:t>variation margin gain haircut (VMGH) tool</w:t>
      </w:r>
      <w:r w:rsidRPr="007C3248">
        <w:rPr>
          <w:rFonts w:ascii="DeutscheBank" w:hAnsi="DeutscheBank"/>
        </w:rPr>
        <w:t>: This resolution tool allows the resolution authority to reduce the amount the CCP owes a clearing member in respect of post-resolution variation margin gains due in accordance with the CCP's process for paying variation margin.</w:t>
      </w:r>
      <w:bookmarkEnd w:id="2"/>
      <w:r w:rsidRPr="007C3248">
        <w:rPr>
          <w:rFonts w:ascii="DeutscheBank" w:hAnsi="DeutscheBank"/>
        </w:rPr>
        <w:t xml:space="preserve"> </w:t>
      </w:r>
    </w:p>
    <w:p w14:paraId="542AC130" w14:textId="3C1A4B49" w:rsidR="00CE4BB0" w:rsidRPr="007C3248" w:rsidRDefault="00CE4BB0" w:rsidP="00CE4BB0">
      <w:pPr>
        <w:pStyle w:val="ParagraphL2"/>
        <w:rPr>
          <w:rFonts w:ascii="DeutscheBank" w:hAnsi="DeutscheBank"/>
        </w:rPr>
      </w:pPr>
      <w:r w:rsidRPr="007C3248">
        <w:rPr>
          <w:rFonts w:ascii="DeutscheBank" w:hAnsi="DeutscheBank"/>
        </w:rPr>
        <w:lastRenderedPageBreak/>
        <w:t xml:space="preserve">the </w:t>
      </w:r>
      <w:r w:rsidRPr="007C3248">
        <w:rPr>
          <w:rFonts w:ascii="DeutscheBank" w:hAnsi="DeutscheBank"/>
          <w:b/>
          <w:bCs/>
        </w:rPr>
        <w:t>write-down and conversion tool</w:t>
      </w:r>
      <w:r w:rsidRPr="007C3248">
        <w:rPr>
          <w:rFonts w:ascii="DeutscheBank" w:hAnsi="DeutscheBank"/>
        </w:rPr>
        <w:t>: This resolution tool allows the resolution authority to write down or convert instruments of ownership, debt instruments or other unsecured liabilities</w:t>
      </w:r>
      <w:r w:rsidR="008E7160" w:rsidRPr="007C3248">
        <w:rPr>
          <w:rFonts w:ascii="DeutscheBank" w:hAnsi="DeutscheBank"/>
        </w:rPr>
        <w:t xml:space="preserve"> of the CCP</w:t>
      </w:r>
      <w:r w:rsidRPr="007C3248">
        <w:rPr>
          <w:rFonts w:ascii="DeutscheBank" w:hAnsi="DeutscheBank"/>
        </w:rPr>
        <w:t xml:space="preserve">. </w:t>
      </w:r>
    </w:p>
    <w:p w14:paraId="0FAB61FF" w14:textId="043A0C9E" w:rsidR="00CE4BB0" w:rsidRPr="007C3248" w:rsidRDefault="00CE4BB0" w:rsidP="00CE4BB0">
      <w:pPr>
        <w:pStyle w:val="ParagraphL2"/>
        <w:rPr>
          <w:rFonts w:ascii="DeutscheBank" w:hAnsi="DeutscheBank"/>
        </w:rPr>
      </w:pPr>
      <w:r w:rsidRPr="007C3248">
        <w:rPr>
          <w:rFonts w:ascii="DeutscheBank" w:hAnsi="DeutscheBank"/>
        </w:rPr>
        <w:t xml:space="preserve">the </w:t>
      </w:r>
      <w:r w:rsidRPr="007C3248">
        <w:rPr>
          <w:rFonts w:ascii="DeutscheBank" w:hAnsi="DeutscheBank"/>
          <w:b/>
          <w:bCs/>
        </w:rPr>
        <w:t>sale of business tool</w:t>
      </w:r>
      <w:r w:rsidRPr="007C3248">
        <w:rPr>
          <w:rFonts w:ascii="DeutscheBank" w:hAnsi="DeutscheBank"/>
        </w:rPr>
        <w:t>: This resolution tool allows the resolution authority to sell all or part of the failing CCP to another entity.</w:t>
      </w:r>
    </w:p>
    <w:p w14:paraId="3D0585E4" w14:textId="529DB8BD" w:rsidR="00CE4BB0" w:rsidRPr="007C3248" w:rsidRDefault="00CE4BB0" w:rsidP="00CE4BB0">
      <w:pPr>
        <w:pStyle w:val="ParagraphL2"/>
        <w:rPr>
          <w:rFonts w:ascii="DeutscheBank" w:hAnsi="DeutscheBank"/>
        </w:rPr>
      </w:pPr>
      <w:r w:rsidRPr="007C3248">
        <w:rPr>
          <w:rFonts w:ascii="DeutscheBank" w:hAnsi="DeutscheBank"/>
        </w:rPr>
        <w:t xml:space="preserve">the </w:t>
      </w:r>
      <w:r w:rsidRPr="007C3248">
        <w:rPr>
          <w:rFonts w:ascii="DeutscheBank" w:hAnsi="DeutscheBank"/>
          <w:b/>
          <w:bCs/>
        </w:rPr>
        <w:t>bridge CCP tool</w:t>
      </w:r>
      <w:r w:rsidRPr="007C3248">
        <w:rPr>
          <w:rFonts w:ascii="DeutscheBank" w:hAnsi="DeutscheBank"/>
        </w:rPr>
        <w:t xml:space="preserve">: This resolution tool allows the resolution authority to separate out essential functions of a CCP and transfer them to a new CCP (the bridge CCP), which is controlled by the resolution authority. </w:t>
      </w:r>
    </w:p>
    <w:p w14:paraId="2C763D03" w14:textId="77777777" w:rsidR="00CE4BB0" w:rsidRPr="007C3248" w:rsidRDefault="00CE4BB0" w:rsidP="00CE4BB0">
      <w:pPr>
        <w:pStyle w:val="BodyText1"/>
        <w:rPr>
          <w:rFonts w:ascii="DeutscheBank" w:hAnsi="DeutscheBank"/>
        </w:rPr>
      </w:pPr>
      <w:r w:rsidRPr="007C3248">
        <w:rPr>
          <w:rFonts w:ascii="DeutscheBank" w:hAnsi="DeutscheBank"/>
        </w:rPr>
        <w:t>To apply the resolution tools, resolution authorities are given wide resolution powers, including the power to:</w:t>
      </w:r>
    </w:p>
    <w:p w14:paraId="4F0F61C6" w14:textId="798F973A" w:rsidR="00CE4BB0" w:rsidRPr="007C3248" w:rsidRDefault="00CE4BB0" w:rsidP="00CE4BB0">
      <w:pPr>
        <w:pStyle w:val="ParagraphL2"/>
        <w:numPr>
          <w:ilvl w:val="1"/>
          <w:numId w:val="2"/>
        </w:numPr>
        <w:rPr>
          <w:rFonts w:ascii="DeutscheBank" w:hAnsi="DeutscheBank"/>
        </w:rPr>
      </w:pPr>
      <w:r w:rsidRPr="007C3248">
        <w:rPr>
          <w:rFonts w:ascii="DeutscheBank" w:hAnsi="DeutscheBank"/>
        </w:rPr>
        <w:t>close out and terminate financial contracts;</w:t>
      </w:r>
    </w:p>
    <w:p w14:paraId="1C26BFED" w14:textId="1321F352" w:rsidR="00CE4BB0" w:rsidRPr="007C3248" w:rsidRDefault="00CE4BB0" w:rsidP="00CE4BB0">
      <w:pPr>
        <w:pStyle w:val="ParagraphL2"/>
        <w:numPr>
          <w:ilvl w:val="1"/>
          <w:numId w:val="2"/>
        </w:numPr>
        <w:rPr>
          <w:rFonts w:ascii="DeutscheBank" w:hAnsi="DeutscheBank"/>
        </w:rPr>
      </w:pPr>
      <w:r w:rsidRPr="007C3248">
        <w:rPr>
          <w:rFonts w:ascii="DeutscheBank" w:hAnsi="DeutscheBank"/>
        </w:rPr>
        <w:t>reduce the amount of variation margin due to a clearing member;</w:t>
      </w:r>
    </w:p>
    <w:p w14:paraId="159D9628" w14:textId="5C21295C" w:rsidR="00CE4BB0" w:rsidRPr="007C3248" w:rsidRDefault="00CE4BB0" w:rsidP="00CE4BB0">
      <w:pPr>
        <w:pStyle w:val="ParagraphL2"/>
        <w:numPr>
          <w:ilvl w:val="1"/>
          <w:numId w:val="2"/>
        </w:numPr>
        <w:rPr>
          <w:rFonts w:ascii="DeutscheBank" w:hAnsi="DeutscheBank"/>
        </w:rPr>
      </w:pPr>
      <w:r w:rsidRPr="007C3248">
        <w:rPr>
          <w:rFonts w:ascii="DeutscheBank" w:hAnsi="DeutscheBank"/>
        </w:rPr>
        <w:t>cancel or modify the terms of a contract with the CCP;</w:t>
      </w:r>
    </w:p>
    <w:p w14:paraId="599632B4" w14:textId="4797EEFE" w:rsidR="00CE4BB0" w:rsidRPr="007C3248" w:rsidRDefault="00CE4BB0" w:rsidP="00CE4BB0">
      <w:pPr>
        <w:pStyle w:val="ParagraphL2"/>
        <w:numPr>
          <w:ilvl w:val="1"/>
          <w:numId w:val="2"/>
        </w:numPr>
        <w:rPr>
          <w:rFonts w:ascii="DeutscheBank" w:hAnsi="DeutscheBank"/>
        </w:rPr>
      </w:pPr>
      <w:r w:rsidRPr="007C3248">
        <w:rPr>
          <w:rFonts w:ascii="DeutscheBank" w:hAnsi="DeutscheBank"/>
        </w:rPr>
        <w:t>suspend payment and delivery obligations;</w:t>
      </w:r>
    </w:p>
    <w:p w14:paraId="722409BD" w14:textId="46114F89" w:rsidR="00CE4BB0" w:rsidRPr="007C3248" w:rsidRDefault="00CE4BB0" w:rsidP="00CE4BB0">
      <w:pPr>
        <w:pStyle w:val="ParagraphL2"/>
        <w:numPr>
          <w:ilvl w:val="1"/>
          <w:numId w:val="2"/>
        </w:numPr>
        <w:rPr>
          <w:rFonts w:ascii="DeutscheBank" w:hAnsi="DeutscheBank"/>
        </w:rPr>
      </w:pPr>
      <w:r w:rsidRPr="007C3248">
        <w:rPr>
          <w:rFonts w:ascii="DeutscheBank" w:hAnsi="DeutscheBank"/>
        </w:rPr>
        <w:t>restrict security interest enforcement; and</w:t>
      </w:r>
    </w:p>
    <w:p w14:paraId="6B969C81" w14:textId="6E92A69A" w:rsidR="00CE4BB0" w:rsidRPr="007C3248" w:rsidRDefault="00CE4BB0" w:rsidP="00CE4BB0">
      <w:pPr>
        <w:pStyle w:val="ParagraphL2"/>
        <w:numPr>
          <w:ilvl w:val="1"/>
          <w:numId w:val="2"/>
        </w:numPr>
        <w:rPr>
          <w:rFonts w:ascii="DeutscheBank" w:hAnsi="DeutscheBank"/>
        </w:rPr>
      </w:pPr>
      <w:r w:rsidRPr="007C3248">
        <w:rPr>
          <w:rFonts w:ascii="DeutscheBank" w:hAnsi="DeutscheBank"/>
        </w:rPr>
        <w:t>suspend termination rights.</w:t>
      </w:r>
    </w:p>
    <w:p w14:paraId="14BF2453" w14:textId="6C38AD07" w:rsidR="00613049" w:rsidRPr="007C3248" w:rsidRDefault="00EF26CB" w:rsidP="00A746F5">
      <w:pPr>
        <w:pStyle w:val="BodyText2"/>
        <w:ind w:left="0"/>
        <w:rPr>
          <w:rFonts w:ascii="DeutscheBank" w:hAnsi="DeutscheBank"/>
        </w:rPr>
      </w:pPr>
      <w:r w:rsidRPr="007C3248">
        <w:rPr>
          <w:rFonts w:ascii="DeutscheBank" w:hAnsi="DeutscheBank"/>
        </w:rPr>
        <w:t xml:space="preserve">The application of the resolution tools and powers under CCPR is subject to certain safeguards (such as the </w:t>
      </w:r>
      <w:r w:rsidR="00A746F5" w:rsidRPr="007C3248">
        <w:rPr>
          <w:rFonts w:ascii="DeutscheBank" w:hAnsi="DeutscheBank"/>
        </w:rPr>
        <w:t>'</w:t>
      </w:r>
      <w:r w:rsidRPr="007C3248">
        <w:rPr>
          <w:rFonts w:ascii="DeutscheBank" w:hAnsi="DeutscheBank"/>
        </w:rPr>
        <w:t>no creditor worse off</w:t>
      </w:r>
      <w:r w:rsidR="00A746F5" w:rsidRPr="007C3248">
        <w:rPr>
          <w:rFonts w:ascii="DeutscheBank" w:hAnsi="DeutscheBank"/>
        </w:rPr>
        <w:t>'</w:t>
      </w:r>
      <w:r w:rsidRPr="007C3248">
        <w:rPr>
          <w:rFonts w:ascii="DeutscheBank" w:hAnsi="DeutscheBank"/>
        </w:rPr>
        <w:t xml:space="preserve"> principle). CCPR does not apply these safeguards to the recovery plans </w:t>
      </w:r>
      <w:r w:rsidR="00A746F5" w:rsidRPr="007C3248">
        <w:rPr>
          <w:rFonts w:ascii="DeutscheBank" w:hAnsi="DeutscheBank"/>
        </w:rPr>
        <w:t>or</w:t>
      </w:r>
      <w:r w:rsidRPr="007C3248">
        <w:rPr>
          <w:rFonts w:ascii="DeutscheBank" w:hAnsi="DeutscheBank"/>
        </w:rPr>
        <w:t xml:space="preserve"> default management procedures </w:t>
      </w:r>
      <w:r w:rsidR="00437BF4" w:rsidRPr="007C3248">
        <w:rPr>
          <w:rFonts w:ascii="DeutscheBank" w:hAnsi="DeutscheBank"/>
        </w:rPr>
        <w:t xml:space="preserve">discussed </w:t>
      </w:r>
      <w:r w:rsidRPr="007C3248">
        <w:rPr>
          <w:rFonts w:ascii="DeutscheBank" w:hAnsi="DeutscheBank"/>
        </w:rPr>
        <w:t>in Section II below.</w:t>
      </w:r>
    </w:p>
    <w:p w14:paraId="0EA6F162" w14:textId="6D8D4386" w:rsidR="00466BCE" w:rsidRPr="007C3248" w:rsidRDefault="00FE1C60" w:rsidP="00FE1C60">
      <w:pPr>
        <w:pStyle w:val="BodyText"/>
        <w:jc w:val="center"/>
        <w:rPr>
          <w:rFonts w:ascii="DeutscheBank" w:hAnsi="DeutscheBank"/>
          <w:b/>
          <w:bCs/>
        </w:rPr>
      </w:pPr>
      <w:r w:rsidRPr="007C3248">
        <w:rPr>
          <w:rFonts w:ascii="DeutscheBank" w:hAnsi="DeutscheBank"/>
          <w:b/>
          <w:bCs/>
        </w:rPr>
        <w:t xml:space="preserve">II. </w:t>
      </w:r>
      <w:r w:rsidR="00466BCE" w:rsidRPr="007C3248">
        <w:rPr>
          <w:rFonts w:ascii="DeutscheBank" w:hAnsi="DeutscheBank"/>
          <w:b/>
          <w:bCs/>
        </w:rPr>
        <w:t xml:space="preserve">Impact </w:t>
      </w:r>
      <w:r w:rsidR="00BF3C0E" w:rsidRPr="007C3248">
        <w:rPr>
          <w:rFonts w:ascii="DeutscheBank" w:hAnsi="DeutscheBank"/>
          <w:b/>
          <w:bCs/>
        </w:rPr>
        <w:t>on you</w:t>
      </w:r>
    </w:p>
    <w:p w14:paraId="34F73E78" w14:textId="2463F716" w:rsidR="005C14E2" w:rsidRPr="007C3248" w:rsidRDefault="005C14E2" w:rsidP="005C14E2">
      <w:pPr>
        <w:rPr>
          <w:rFonts w:ascii="DeutscheBank" w:hAnsi="DeutscheBank"/>
        </w:rPr>
      </w:pPr>
      <w:r w:rsidRPr="007C3248">
        <w:rPr>
          <w:rFonts w:ascii="DeutscheBank" w:hAnsi="DeutscheBank"/>
        </w:rPr>
        <w:t>Provisions introduced under CCPR require us to</w:t>
      </w:r>
      <w:r w:rsidR="002E05C8" w:rsidRPr="007C3248">
        <w:rPr>
          <w:rFonts w:ascii="DeutscheBank" w:hAnsi="DeutscheBank"/>
        </w:rPr>
        <w:t xml:space="preserve"> inform you</w:t>
      </w:r>
      <w:r w:rsidRPr="007C3248">
        <w:rPr>
          <w:rFonts w:ascii="DeutscheBank" w:hAnsi="DeutscheBank"/>
        </w:rPr>
        <w:t>:</w:t>
      </w:r>
    </w:p>
    <w:p w14:paraId="69EA9FAB" w14:textId="78FD6A98" w:rsidR="002E05C8" w:rsidRPr="007C3248" w:rsidRDefault="002E05C8" w:rsidP="006950B4">
      <w:pPr>
        <w:pStyle w:val="ParagraphL2"/>
        <w:numPr>
          <w:ilvl w:val="1"/>
          <w:numId w:val="16"/>
        </w:numPr>
        <w:rPr>
          <w:rFonts w:ascii="DeutscheBank" w:hAnsi="DeutscheBank"/>
        </w:rPr>
      </w:pPr>
      <w:r w:rsidRPr="007C3248">
        <w:rPr>
          <w:rFonts w:ascii="DeutscheBank" w:hAnsi="DeutscheBank"/>
        </w:rPr>
        <w:t>if and in what way measures in the CCP’s recovery plan may affect you; and</w:t>
      </w:r>
    </w:p>
    <w:p w14:paraId="3CFD207B" w14:textId="051EF3C2" w:rsidR="005C14E2" w:rsidRPr="007C3248" w:rsidRDefault="005C14E2" w:rsidP="006950B4">
      <w:pPr>
        <w:pStyle w:val="ParagraphL2"/>
        <w:rPr>
          <w:rFonts w:ascii="DeutscheBank" w:hAnsi="DeutscheBank"/>
        </w:rPr>
      </w:pPr>
      <w:r w:rsidRPr="007C3248">
        <w:rPr>
          <w:rFonts w:ascii="DeutscheBank" w:hAnsi="DeutscheBank"/>
        </w:rPr>
        <w:lastRenderedPageBreak/>
        <w:t xml:space="preserve">of the potential losses or other costs that you may bear as a result of the </w:t>
      </w:r>
      <w:r w:rsidR="002E05C8" w:rsidRPr="007C3248">
        <w:rPr>
          <w:rFonts w:ascii="DeutscheBank" w:hAnsi="DeutscheBank"/>
        </w:rPr>
        <w:t>a</w:t>
      </w:r>
      <w:r w:rsidRPr="007C3248">
        <w:rPr>
          <w:rFonts w:ascii="DeutscheBank" w:hAnsi="DeutscheBank"/>
        </w:rPr>
        <w:t>pplic</w:t>
      </w:r>
      <w:r w:rsidR="002E05C8" w:rsidRPr="007C3248">
        <w:rPr>
          <w:rFonts w:ascii="DeutscheBank" w:hAnsi="DeutscheBank"/>
        </w:rPr>
        <w:t>a</w:t>
      </w:r>
      <w:r w:rsidRPr="007C3248">
        <w:rPr>
          <w:rFonts w:ascii="DeutscheBank" w:hAnsi="DeutscheBank"/>
        </w:rPr>
        <w:t>t</w:t>
      </w:r>
      <w:r w:rsidR="002E05C8" w:rsidRPr="007C3248">
        <w:rPr>
          <w:rFonts w:ascii="DeutscheBank" w:hAnsi="DeutscheBank"/>
        </w:rPr>
        <w:t>i</w:t>
      </w:r>
      <w:r w:rsidRPr="007C3248">
        <w:rPr>
          <w:rFonts w:ascii="DeutscheBank" w:hAnsi="DeutscheBank"/>
        </w:rPr>
        <w:t>on of the default management procedures and loss and position allocation arrangements under a CCP's operating rules</w:t>
      </w:r>
      <w:r w:rsidR="002E05C8" w:rsidRPr="007C3248">
        <w:rPr>
          <w:rFonts w:ascii="DeutscheBank" w:hAnsi="DeutscheBank"/>
        </w:rPr>
        <w:t>.</w:t>
      </w:r>
    </w:p>
    <w:p w14:paraId="619E4C02" w14:textId="289FB96D" w:rsidR="00173384" w:rsidRPr="007C3248" w:rsidRDefault="00EF26CB">
      <w:pPr>
        <w:pStyle w:val="ParagraphL1"/>
        <w:numPr>
          <w:ilvl w:val="0"/>
          <w:numId w:val="0"/>
        </w:numPr>
        <w:rPr>
          <w:rFonts w:ascii="DeutscheBank" w:hAnsi="DeutscheBank"/>
          <w:lang w:bidi="ar-SA"/>
        </w:rPr>
      </w:pPr>
      <w:r w:rsidRPr="007C3248">
        <w:rPr>
          <w:rFonts w:ascii="DeutscheBank" w:hAnsi="DeutscheBank"/>
          <w:lang w:bidi="ar-SA"/>
        </w:rPr>
        <w:t>The measures described below</w:t>
      </w:r>
      <w:r w:rsidR="00173384" w:rsidRPr="007C3248">
        <w:rPr>
          <w:rFonts w:ascii="DeutscheBank" w:hAnsi="DeutscheBank"/>
          <w:lang w:bidi="ar-SA"/>
        </w:rPr>
        <w:t xml:space="preserve"> may affect transactions we are clearing for ourselves as well as transactions we are clearing for you</w:t>
      </w:r>
      <w:r w:rsidR="00AE2444" w:rsidRPr="007C3248">
        <w:rPr>
          <w:rFonts w:ascii="DeutscheBank" w:hAnsi="DeutscheBank"/>
          <w:lang w:bidi="ar-SA"/>
        </w:rPr>
        <w:t xml:space="preserve"> or, where we are providing a clearing service to you as a client of a clearing member (known as “indirect clearing”), transactions cleared by that clearing member for us and you</w:t>
      </w:r>
      <w:r w:rsidR="00173384" w:rsidRPr="007C3248">
        <w:rPr>
          <w:rFonts w:ascii="DeutscheBank" w:hAnsi="DeutscheBank"/>
          <w:lang w:bidi="ar-SA"/>
        </w:rPr>
        <w:t xml:space="preserve">. </w:t>
      </w:r>
      <w:r w:rsidRPr="007C3248">
        <w:rPr>
          <w:rFonts w:ascii="DeutscheBank" w:hAnsi="DeutscheBank"/>
          <w:lang w:bidi="ar-SA"/>
        </w:rPr>
        <w:t>The clearing agreement between us</w:t>
      </w:r>
      <w:r w:rsidR="00AE2444" w:rsidRPr="007C3248">
        <w:rPr>
          <w:rFonts w:ascii="DeutscheBank" w:hAnsi="DeutscheBank"/>
          <w:lang w:bidi="ar-SA"/>
        </w:rPr>
        <w:t xml:space="preserve"> </w:t>
      </w:r>
      <w:r w:rsidRPr="007C3248">
        <w:rPr>
          <w:rFonts w:ascii="DeutscheBank" w:hAnsi="DeutscheBank"/>
          <w:lang w:bidi="ar-SA"/>
        </w:rPr>
        <w:t>provides that</w:t>
      </w:r>
      <w:r w:rsidR="00AE2444" w:rsidRPr="007C3248">
        <w:rPr>
          <w:rFonts w:ascii="DeutscheBank" w:hAnsi="DeutscheBank"/>
          <w:lang w:bidi="ar-SA"/>
        </w:rPr>
        <w:t>, where we are a clearing member,</w:t>
      </w:r>
      <w:r w:rsidR="00934742">
        <w:rPr>
          <w:rFonts w:ascii="DeutscheBank" w:hAnsi="DeutscheBank"/>
          <w:lang w:bidi="ar-SA"/>
        </w:rPr>
        <w:t xml:space="preserve"> </w:t>
      </w:r>
      <w:r w:rsidRPr="007C3248">
        <w:rPr>
          <w:rFonts w:ascii="DeutscheBank" w:hAnsi="DeutscheBank"/>
          <w:lang w:bidi="ar-SA"/>
        </w:rPr>
        <w:t xml:space="preserve">we are only required to perform and pay our obligations </w:t>
      </w:r>
      <w:r w:rsidR="00510CD3" w:rsidRPr="007C3248">
        <w:rPr>
          <w:rFonts w:ascii="DeutscheBank" w:hAnsi="DeutscheBank"/>
          <w:lang w:bidi="ar-SA"/>
        </w:rPr>
        <w:t xml:space="preserve">to you </w:t>
      </w:r>
      <w:r w:rsidRPr="007C3248">
        <w:rPr>
          <w:rFonts w:ascii="DeutscheBank" w:hAnsi="DeutscheBank"/>
          <w:lang w:bidi="ar-SA"/>
        </w:rPr>
        <w:t xml:space="preserve">to the extent </w:t>
      </w:r>
      <w:r w:rsidR="00510CD3" w:rsidRPr="007C3248">
        <w:rPr>
          <w:rFonts w:ascii="DeutscheBank" w:hAnsi="DeutscheBank"/>
          <w:lang w:bidi="ar-SA"/>
        </w:rPr>
        <w:t xml:space="preserve">a relevant </w:t>
      </w:r>
      <w:r w:rsidRPr="007C3248">
        <w:rPr>
          <w:rFonts w:ascii="DeutscheBank" w:hAnsi="DeutscheBank"/>
          <w:lang w:bidi="ar-SA"/>
        </w:rPr>
        <w:t xml:space="preserve">CCP </w:t>
      </w:r>
      <w:r w:rsidR="00435533" w:rsidRPr="007C3248">
        <w:rPr>
          <w:rFonts w:ascii="DeutscheBank" w:hAnsi="DeutscheBank"/>
          <w:lang w:bidi="ar-SA"/>
        </w:rPr>
        <w:t>performs and pays its corresponding obligations to us</w:t>
      </w:r>
      <w:r w:rsidR="00AE2444" w:rsidRPr="007C3248">
        <w:rPr>
          <w:rFonts w:ascii="DeutscheBank" w:hAnsi="DeutscheBank"/>
          <w:lang w:bidi="ar-SA"/>
        </w:rPr>
        <w:t xml:space="preserve"> and where we are a client of a clearing member, we are only required to perform and pay our obligations to you to the extent a relevant CCP </w:t>
      </w:r>
      <w:bookmarkStart w:id="3" w:name="_Hlk180760737"/>
      <w:r w:rsidR="00AE2444" w:rsidRPr="007C3248">
        <w:rPr>
          <w:rFonts w:ascii="DeutscheBank" w:hAnsi="DeutscheBank"/>
          <w:lang w:bidi="ar-SA"/>
        </w:rPr>
        <w:t>performs and pays its corresponding obligations to</w:t>
      </w:r>
      <w:bookmarkEnd w:id="3"/>
      <w:r w:rsidR="00AE2444" w:rsidRPr="007C3248">
        <w:rPr>
          <w:rFonts w:ascii="DeutscheBank" w:hAnsi="DeutscheBank"/>
          <w:lang w:bidi="ar-SA"/>
        </w:rPr>
        <w:t xml:space="preserve"> our clearing member and, in turn, our clearing member performs and pays its corresponding obligations to us</w:t>
      </w:r>
      <w:r w:rsidRPr="007C3248">
        <w:rPr>
          <w:rFonts w:ascii="DeutscheBank" w:hAnsi="DeutscheBank"/>
          <w:lang w:bidi="ar-SA"/>
        </w:rPr>
        <w:t xml:space="preserve">. Therefore, if the measures below are exercised, what we pay </w:t>
      </w:r>
      <w:r w:rsidR="00435533" w:rsidRPr="007C3248">
        <w:rPr>
          <w:rFonts w:ascii="DeutscheBank" w:hAnsi="DeutscheBank"/>
          <w:lang w:bidi="ar-SA"/>
        </w:rPr>
        <w:t xml:space="preserve">or deliver to </w:t>
      </w:r>
      <w:r w:rsidRPr="007C3248">
        <w:rPr>
          <w:rFonts w:ascii="DeutscheBank" w:hAnsi="DeutscheBank"/>
          <w:lang w:bidi="ar-SA"/>
        </w:rPr>
        <w:t xml:space="preserve">you may be correspondingly reduced. </w:t>
      </w:r>
    </w:p>
    <w:p w14:paraId="54D9EABF" w14:textId="3486D074" w:rsidR="00C16658" w:rsidRPr="007C3248" w:rsidRDefault="00173384" w:rsidP="00A746F5">
      <w:pPr>
        <w:pStyle w:val="BodyText1"/>
        <w:ind w:left="0"/>
        <w:rPr>
          <w:rFonts w:ascii="DeutscheBank" w:hAnsi="DeutscheBank"/>
        </w:rPr>
      </w:pPr>
      <w:r w:rsidRPr="007C3248">
        <w:rPr>
          <w:rFonts w:ascii="DeutscheBank" w:hAnsi="DeutscheBank"/>
          <w:lang w:bidi="ar-SA"/>
        </w:rPr>
        <w:t>In addition to the specific costs and losses</w:t>
      </w:r>
      <w:r w:rsidR="006A4845" w:rsidRPr="007C3248">
        <w:rPr>
          <w:rFonts w:ascii="DeutscheBank" w:hAnsi="DeutscheBank"/>
          <w:lang w:bidi="ar-SA"/>
        </w:rPr>
        <w:t xml:space="preserve"> set out</w:t>
      </w:r>
      <w:r w:rsidRPr="007C3248">
        <w:rPr>
          <w:rFonts w:ascii="DeutscheBank" w:hAnsi="DeutscheBank"/>
          <w:lang w:bidi="ar-SA"/>
        </w:rPr>
        <w:t xml:space="preserve"> below</w:t>
      </w:r>
      <w:r w:rsidR="00EF26CB" w:rsidRPr="007C3248">
        <w:rPr>
          <w:rFonts w:ascii="DeutscheBank" w:hAnsi="DeutscheBank"/>
          <w:lang w:bidi="ar-SA"/>
        </w:rPr>
        <w:t xml:space="preserve">, </w:t>
      </w:r>
      <w:r w:rsidR="00EF26CB" w:rsidRPr="007C3248">
        <w:rPr>
          <w:rFonts w:ascii="DeutscheBank" w:hAnsi="DeutscheBank"/>
        </w:rPr>
        <w:t xml:space="preserve">you may incur further costs and losses as a result of any market disruptions ensuing from </w:t>
      </w:r>
      <w:r w:rsidR="009810D7" w:rsidRPr="007C3248">
        <w:rPr>
          <w:rFonts w:ascii="DeutscheBank" w:hAnsi="DeutscheBank"/>
        </w:rPr>
        <w:t>the financial difficulties of the relevant CCP</w:t>
      </w:r>
      <w:r w:rsidR="00A74BC3" w:rsidRPr="007C3248">
        <w:rPr>
          <w:rFonts w:ascii="DeutscheBank" w:hAnsi="DeutscheBank"/>
        </w:rPr>
        <w:t xml:space="preserve"> or </w:t>
      </w:r>
      <w:r w:rsidR="006826FA" w:rsidRPr="007C3248">
        <w:rPr>
          <w:rFonts w:ascii="DeutscheBank" w:hAnsi="DeutscheBank"/>
        </w:rPr>
        <w:t xml:space="preserve">its other </w:t>
      </w:r>
      <w:r w:rsidR="00A74BC3" w:rsidRPr="007C3248">
        <w:rPr>
          <w:rFonts w:ascii="DeutscheBank" w:hAnsi="DeutscheBank"/>
        </w:rPr>
        <w:t>clearing member</w:t>
      </w:r>
      <w:r w:rsidR="006826FA" w:rsidRPr="007C3248">
        <w:rPr>
          <w:rFonts w:ascii="DeutscheBank" w:hAnsi="DeutscheBank"/>
        </w:rPr>
        <w:t>s</w:t>
      </w:r>
      <w:r w:rsidR="00EF26CB" w:rsidRPr="007C3248">
        <w:rPr>
          <w:rFonts w:ascii="DeutscheBank" w:hAnsi="DeutscheBank"/>
        </w:rPr>
        <w:t xml:space="preserve"> (such as increased margin requirements or stressed market circumstances which may adversely impact the value of your transactions). </w:t>
      </w:r>
    </w:p>
    <w:p w14:paraId="32F7D1C0" w14:textId="77777777" w:rsidR="00C16658" w:rsidRPr="007C3248" w:rsidRDefault="00C16658">
      <w:pPr>
        <w:spacing w:after="0" w:line="240" w:lineRule="auto"/>
        <w:jc w:val="left"/>
        <w:rPr>
          <w:rFonts w:ascii="DeutscheBank" w:hAnsi="DeutscheBank"/>
        </w:rPr>
      </w:pPr>
      <w:r w:rsidRPr="007C3248">
        <w:rPr>
          <w:rFonts w:ascii="DeutscheBank" w:hAnsi="DeutscheBank"/>
        </w:rPr>
        <w:br w:type="page"/>
      </w:r>
    </w:p>
    <w:p w14:paraId="5F149AE3" w14:textId="77777777" w:rsidR="00173384" w:rsidRPr="007C3248" w:rsidRDefault="00173384" w:rsidP="00A746F5">
      <w:pPr>
        <w:pStyle w:val="BodyText1"/>
        <w:ind w:left="0"/>
        <w:rPr>
          <w:rFonts w:ascii="DeutscheBank" w:hAnsi="DeutscheBank"/>
        </w:rPr>
      </w:pPr>
    </w:p>
    <w:p w14:paraId="2EFDCE3C" w14:textId="0F0128B0" w:rsidR="00F6730A" w:rsidRPr="007C3248" w:rsidRDefault="00F6730A" w:rsidP="004420F7">
      <w:pPr>
        <w:pStyle w:val="ParagraphL1"/>
        <w:numPr>
          <w:ilvl w:val="0"/>
          <w:numId w:val="12"/>
        </w:numPr>
        <w:rPr>
          <w:rFonts w:ascii="DeutscheBank" w:hAnsi="DeutscheBank"/>
          <w:b/>
          <w:bCs/>
        </w:rPr>
      </w:pPr>
      <w:bookmarkStart w:id="4" w:name="_Ref110976514"/>
      <w:r w:rsidRPr="007C3248">
        <w:rPr>
          <w:rFonts w:ascii="DeutscheBank" w:hAnsi="DeutscheBank"/>
          <w:b/>
          <w:bCs/>
        </w:rPr>
        <w:t>CCP recovery</w:t>
      </w:r>
      <w:r w:rsidR="007D337D" w:rsidRPr="007C3248">
        <w:rPr>
          <w:rFonts w:ascii="DeutscheBank" w:hAnsi="DeutscheBank"/>
          <w:b/>
          <w:bCs/>
        </w:rPr>
        <w:t xml:space="preserve"> plan</w:t>
      </w:r>
      <w:r w:rsidRPr="007C3248">
        <w:rPr>
          <w:rFonts w:ascii="DeutscheBank" w:hAnsi="DeutscheBank"/>
          <w:b/>
          <w:bCs/>
        </w:rPr>
        <w:t xml:space="preserve"> measures</w:t>
      </w:r>
      <w:bookmarkEnd w:id="4"/>
    </w:p>
    <w:p w14:paraId="7D84D661" w14:textId="054A10C1" w:rsidR="00F42986" w:rsidRPr="007C3248" w:rsidRDefault="00A24440" w:rsidP="00E45B95">
      <w:pPr>
        <w:pStyle w:val="BodyText1"/>
        <w:ind w:left="0"/>
        <w:rPr>
          <w:rFonts w:ascii="DeutscheBank" w:hAnsi="DeutscheBank"/>
          <w:lang w:bidi="ar-SA"/>
        </w:rPr>
      </w:pPr>
      <w:r w:rsidRPr="007C3248">
        <w:rPr>
          <w:rFonts w:ascii="DeutscheBank" w:hAnsi="DeutscheBank"/>
          <w:lang w:bidi="ar-SA"/>
        </w:rPr>
        <w:t xml:space="preserve">As CCPs are not required to make their recovery plans public, we cannot </w:t>
      </w:r>
      <w:r w:rsidR="000331D5" w:rsidRPr="007C3248">
        <w:rPr>
          <w:rFonts w:ascii="DeutscheBank" w:hAnsi="DeutscheBank"/>
          <w:lang w:bidi="ar-SA"/>
        </w:rPr>
        <w:t xml:space="preserve">confirm with certainty which measures will </w:t>
      </w:r>
      <w:r w:rsidR="00F42986" w:rsidRPr="007C3248">
        <w:rPr>
          <w:rFonts w:ascii="DeutscheBank" w:hAnsi="DeutscheBank"/>
          <w:lang w:bidi="ar-SA"/>
        </w:rPr>
        <w:t xml:space="preserve">be included in each CCP’s recovery plan. </w:t>
      </w:r>
    </w:p>
    <w:p w14:paraId="1FEFEA95" w14:textId="53F8ED00" w:rsidR="00E3738E" w:rsidRPr="007C3248" w:rsidRDefault="00F42986" w:rsidP="00E45B95">
      <w:pPr>
        <w:pStyle w:val="BodyText1"/>
        <w:ind w:left="0"/>
        <w:rPr>
          <w:rFonts w:ascii="DeutscheBank" w:hAnsi="DeutscheBank"/>
          <w:lang w:bidi="ar-SA"/>
        </w:rPr>
      </w:pPr>
      <w:r w:rsidRPr="007C3248">
        <w:rPr>
          <w:rFonts w:ascii="DeutscheBank" w:hAnsi="DeutscheBank"/>
          <w:lang w:bidi="ar-SA"/>
        </w:rPr>
        <w:t>However, we expect each CCP’s recovery plan to comprise one or more of the following measures</w:t>
      </w:r>
      <w:r w:rsidR="00B3476B" w:rsidRPr="007C3248">
        <w:rPr>
          <w:rFonts w:ascii="DeutscheBank" w:hAnsi="DeutscheBank"/>
          <w:lang w:bidi="ar-SA"/>
        </w:rPr>
        <w:t>, each of which may impact you in the ways outlined in the table below</w:t>
      </w:r>
      <w:r w:rsidRPr="007C3248">
        <w:rPr>
          <w:rFonts w:ascii="DeutscheBank" w:hAnsi="DeutscheBank"/>
          <w:lang w:bidi="ar-SA"/>
        </w:rPr>
        <w:t xml:space="preserve">. </w:t>
      </w:r>
      <w:r w:rsidR="00CE12B7" w:rsidRPr="007C3248">
        <w:rPr>
          <w:rFonts w:ascii="DeutscheBank" w:hAnsi="DeutscheBank"/>
          <w:lang w:bidi="ar-SA"/>
        </w:rPr>
        <w:t>The</w:t>
      </w:r>
      <w:r w:rsidR="00B76BD2" w:rsidRPr="007C3248">
        <w:rPr>
          <w:rFonts w:ascii="DeutscheBank" w:hAnsi="DeutscheBank"/>
          <w:lang w:bidi="ar-SA"/>
        </w:rPr>
        <w:t xml:space="preserve"> appendices to this </w:t>
      </w:r>
      <w:r w:rsidR="00D74C87" w:rsidRPr="007C3248">
        <w:rPr>
          <w:rFonts w:ascii="DeutscheBank" w:hAnsi="DeutscheBank"/>
          <w:lang w:bidi="ar-SA"/>
        </w:rPr>
        <w:t>letter</w:t>
      </w:r>
      <w:r w:rsidR="00B76BD2" w:rsidRPr="007C3248">
        <w:rPr>
          <w:rFonts w:ascii="DeutscheBank" w:hAnsi="DeutscheBank"/>
          <w:lang w:bidi="ar-SA"/>
        </w:rPr>
        <w:t xml:space="preserve"> </w:t>
      </w:r>
      <w:r w:rsidR="00431FEA" w:rsidRPr="007C3248">
        <w:rPr>
          <w:rFonts w:ascii="DeutscheBank" w:hAnsi="DeutscheBank"/>
          <w:lang w:bidi="ar-SA"/>
        </w:rPr>
        <w:t>set out details of which of the below measures have been provided for in the rulebook of each CCP we clear at on your behalf</w:t>
      </w:r>
      <w:bookmarkStart w:id="5" w:name="_Hlk180708314"/>
      <w:r w:rsidR="00AE2444" w:rsidRPr="007C3248">
        <w:rPr>
          <w:rFonts w:ascii="DeutscheBank" w:hAnsi="DeutscheBank"/>
          <w:lang w:bidi="ar-SA"/>
        </w:rPr>
        <w:t xml:space="preserve"> or, where we are facilitating an indirect clearing service, at which your transactions are cleared by a clearing member</w:t>
      </w:r>
      <w:bookmarkEnd w:id="5"/>
      <w:r w:rsidR="00431FEA" w:rsidRPr="007C3248">
        <w:rPr>
          <w:rFonts w:ascii="DeutscheBank" w:hAnsi="DeutscheBank"/>
          <w:lang w:bidi="ar-SA"/>
        </w:rPr>
        <w:t xml:space="preserve">. If </w:t>
      </w:r>
      <w:r w:rsidR="00020E46" w:rsidRPr="007C3248">
        <w:rPr>
          <w:rFonts w:ascii="DeutscheBank" w:hAnsi="DeutscheBank"/>
          <w:lang w:bidi="ar-SA"/>
        </w:rPr>
        <w:t>a measure is provided for in a CCP’s rulebook, we would also expect that measure to be included in that CCP’s recovery plan.</w:t>
      </w:r>
    </w:p>
    <w:tbl>
      <w:tblPr>
        <w:tblStyle w:val="TableGrid"/>
        <w:tblW w:w="0" w:type="auto"/>
        <w:tblLook w:val="04A0" w:firstRow="1" w:lastRow="0" w:firstColumn="1" w:lastColumn="0" w:noHBand="0" w:noVBand="1"/>
      </w:tblPr>
      <w:tblGrid>
        <w:gridCol w:w="1464"/>
        <w:gridCol w:w="4609"/>
        <w:gridCol w:w="2943"/>
      </w:tblGrid>
      <w:tr w:rsidR="00F42986" w:rsidRPr="007C3248" w14:paraId="134B0BCD" w14:textId="77777777" w:rsidTr="00A33CF0">
        <w:trPr>
          <w:trHeight w:val="532"/>
        </w:trPr>
        <w:tc>
          <w:tcPr>
            <w:tcW w:w="1443" w:type="dxa"/>
          </w:tcPr>
          <w:p w14:paraId="3225DB0B" w14:textId="221B65E4" w:rsidR="00F42986" w:rsidRPr="007C3248" w:rsidRDefault="00F42986" w:rsidP="00E723FB">
            <w:pPr>
              <w:spacing w:after="0" w:line="240" w:lineRule="auto"/>
              <w:jc w:val="center"/>
              <w:rPr>
                <w:rFonts w:ascii="DeutscheBank" w:hAnsi="DeutscheBank"/>
                <w:b/>
                <w:bCs/>
              </w:rPr>
            </w:pPr>
            <w:r w:rsidRPr="007C3248">
              <w:rPr>
                <w:rFonts w:ascii="DeutscheBank" w:hAnsi="DeutscheBank"/>
                <w:b/>
                <w:bCs/>
              </w:rPr>
              <w:t>Measure</w:t>
            </w:r>
          </w:p>
        </w:tc>
        <w:tc>
          <w:tcPr>
            <w:tcW w:w="4624" w:type="dxa"/>
          </w:tcPr>
          <w:p w14:paraId="7151126E" w14:textId="677CC53C" w:rsidR="00F42986" w:rsidRPr="007C3248" w:rsidRDefault="00F42986" w:rsidP="00E723FB">
            <w:pPr>
              <w:spacing w:after="0" w:line="240" w:lineRule="auto"/>
              <w:jc w:val="center"/>
              <w:rPr>
                <w:rFonts w:ascii="DeutscheBank" w:hAnsi="DeutscheBank"/>
                <w:b/>
                <w:bCs/>
              </w:rPr>
            </w:pPr>
            <w:r w:rsidRPr="007C3248">
              <w:rPr>
                <w:rFonts w:ascii="DeutscheBank" w:hAnsi="DeutscheBank"/>
                <w:b/>
                <w:bCs/>
              </w:rPr>
              <w:t>Description</w:t>
            </w:r>
          </w:p>
        </w:tc>
        <w:tc>
          <w:tcPr>
            <w:tcW w:w="2949" w:type="dxa"/>
          </w:tcPr>
          <w:p w14:paraId="4E3CF335" w14:textId="2C9F3463" w:rsidR="00F42986" w:rsidRPr="007C3248" w:rsidRDefault="00F42986" w:rsidP="00E723FB">
            <w:pPr>
              <w:spacing w:after="0" w:line="240" w:lineRule="auto"/>
              <w:jc w:val="center"/>
              <w:rPr>
                <w:rFonts w:ascii="DeutscheBank" w:hAnsi="DeutscheBank"/>
                <w:b/>
                <w:bCs/>
              </w:rPr>
            </w:pPr>
            <w:r w:rsidRPr="007C3248">
              <w:rPr>
                <w:rFonts w:ascii="DeutscheBank" w:hAnsi="DeutscheBank"/>
                <w:b/>
                <w:bCs/>
              </w:rPr>
              <w:t>Impact on you</w:t>
            </w:r>
          </w:p>
        </w:tc>
      </w:tr>
      <w:tr w:rsidR="00F42986" w:rsidRPr="007C3248" w14:paraId="771F114B" w14:textId="77777777" w:rsidTr="00A33CF0">
        <w:tc>
          <w:tcPr>
            <w:tcW w:w="1443" w:type="dxa"/>
          </w:tcPr>
          <w:p w14:paraId="54437CF1" w14:textId="684BFA54" w:rsidR="00F42986" w:rsidRPr="007C3248" w:rsidRDefault="00B508AA" w:rsidP="00E723FB">
            <w:pPr>
              <w:spacing w:after="0" w:line="240" w:lineRule="auto"/>
              <w:jc w:val="center"/>
              <w:rPr>
                <w:rFonts w:ascii="DeutscheBank" w:hAnsi="DeutscheBank"/>
              </w:rPr>
            </w:pPr>
            <w:r w:rsidRPr="007C3248">
              <w:rPr>
                <w:rFonts w:ascii="DeutscheBank" w:hAnsi="DeutscheBank"/>
              </w:rPr>
              <w:t>Tear up</w:t>
            </w:r>
          </w:p>
          <w:p w14:paraId="41107F41" w14:textId="1F66F6FF" w:rsidR="00FD11DF" w:rsidRPr="007C3248" w:rsidRDefault="00FD11DF" w:rsidP="00F42986">
            <w:pPr>
              <w:spacing w:after="0" w:line="240" w:lineRule="auto"/>
              <w:jc w:val="left"/>
              <w:rPr>
                <w:rFonts w:ascii="DeutscheBank" w:hAnsi="DeutscheBank"/>
              </w:rPr>
            </w:pPr>
          </w:p>
        </w:tc>
        <w:tc>
          <w:tcPr>
            <w:tcW w:w="4624" w:type="dxa"/>
          </w:tcPr>
          <w:p w14:paraId="311BFBD4" w14:textId="180EAF8D" w:rsidR="00BF1C8F" w:rsidRPr="007C3248" w:rsidRDefault="001163C5" w:rsidP="00F42986">
            <w:pPr>
              <w:spacing w:after="0" w:line="240" w:lineRule="auto"/>
              <w:jc w:val="left"/>
              <w:rPr>
                <w:rFonts w:ascii="DeutscheBank" w:hAnsi="DeutscheBank"/>
              </w:rPr>
            </w:pPr>
            <w:r w:rsidRPr="007C3248">
              <w:rPr>
                <w:rFonts w:ascii="DeutscheBank" w:hAnsi="DeutscheBank"/>
              </w:rPr>
              <w:t xml:space="preserve">A process by which a CCP may terminate </w:t>
            </w:r>
            <w:r w:rsidR="007A46A7" w:rsidRPr="007C3248">
              <w:rPr>
                <w:rFonts w:ascii="DeutscheBank" w:hAnsi="DeutscheBank"/>
              </w:rPr>
              <w:t>a class of contracts</w:t>
            </w:r>
            <w:r w:rsidR="00754B11" w:rsidRPr="007C3248">
              <w:rPr>
                <w:rFonts w:ascii="DeutscheBank" w:hAnsi="DeutscheBank"/>
              </w:rPr>
              <w:t xml:space="preserve"> in order to rebalance its book</w:t>
            </w:r>
            <w:r w:rsidRPr="007C3248">
              <w:rPr>
                <w:rFonts w:ascii="DeutscheBank" w:hAnsi="DeutscheBank"/>
              </w:rPr>
              <w:t xml:space="preserve">. </w:t>
            </w:r>
            <w:r w:rsidR="002B3D0A" w:rsidRPr="007C3248">
              <w:rPr>
                <w:rFonts w:ascii="DeutscheBank" w:hAnsi="DeutscheBank"/>
              </w:rPr>
              <w:t>This tool is normally available to CCPs if a clearing member defaults and its positions cannot be auctioned off</w:t>
            </w:r>
            <w:r w:rsidR="00DE4427" w:rsidRPr="007C3248">
              <w:rPr>
                <w:rFonts w:ascii="DeutscheBank" w:hAnsi="DeutscheBank"/>
              </w:rPr>
              <w:t xml:space="preserve">. The CCP can </w:t>
            </w:r>
            <w:r w:rsidR="00B4553D" w:rsidRPr="007C3248">
              <w:rPr>
                <w:rFonts w:ascii="DeutscheBank" w:hAnsi="DeutscheBank"/>
              </w:rPr>
              <w:t xml:space="preserve">terminate corresponding positions </w:t>
            </w:r>
            <w:r w:rsidR="00081236" w:rsidRPr="007C3248">
              <w:rPr>
                <w:rFonts w:ascii="DeutscheBank" w:hAnsi="DeutscheBank"/>
              </w:rPr>
              <w:t xml:space="preserve">in whole or part </w:t>
            </w:r>
            <w:r w:rsidR="00B4553D" w:rsidRPr="007C3248">
              <w:rPr>
                <w:rFonts w:ascii="DeutscheBank" w:hAnsi="DeutscheBank"/>
              </w:rPr>
              <w:t>to re-balance the CCP's books</w:t>
            </w:r>
            <w:r w:rsidR="004A7EC9" w:rsidRPr="007C3248">
              <w:rPr>
                <w:rFonts w:ascii="DeutscheBank" w:hAnsi="DeutscheBank"/>
              </w:rPr>
              <w:t>. It may also be available following a non-default loss, a force majeure or other emergency.</w:t>
            </w:r>
          </w:p>
          <w:p w14:paraId="0DB18A8F" w14:textId="6F1D53AF" w:rsidR="0085747B" w:rsidRPr="007C3248" w:rsidRDefault="0085747B" w:rsidP="00F42986">
            <w:pPr>
              <w:spacing w:after="0" w:line="240" w:lineRule="auto"/>
              <w:jc w:val="left"/>
              <w:rPr>
                <w:rFonts w:ascii="DeutscheBank" w:hAnsi="DeutscheBank"/>
              </w:rPr>
            </w:pPr>
          </w:p>
          <w:p w14:paraId="53204234" w14:textId="45FE6AB1" w:rsidR="0085747B" w:rsidRPr="007C3248" w:rsidRDefault="004107A2" w:rsidP="00F42986">
            <w:pPr>
              <w:spacing w:after="0" w:line="240" w:lineRule="auto"/>
              <w:jc w:val="left"/>
              <w:rPr>
                <w:rFonts w:ascii="DeutscheBank" w:hAnsi="DeutscheBank"/>
              </w:rPr>
            </w:pPr>
            <w:r w:rsidRPr="007C3248">
              <w:rPr>
                <w:rFonts w:ascii="DeutscheBank" w:hAnsi="DeutscheBank"/>
              </w:rPr>
              <w:t>Normally a tear-up will be in the form of a partial tear-up</w:t>
            </w:r>
            <w:r w:rsidR="00643929" w:rsidRPr="007C3248">
              <w:rPr>
                <w:rFonts w:ascii="DeutscheBank" w:hAnsi="DeutscheBank"/>
              </w:rPr>
              <w:t xml:space="preserve">, in which only </w:t>
            </w:r>
            <w:r w:rsidR="00B936BE" w:rsidRPr="007C3248">
              <w:rPr>
                <w:rFonts w:ascii="DeutscheBank" w:hAnsi="DeutscheBank"/>
              </w:rPr>
              <w:t xml:space="preserve">a portion of </w:t>
            </w:r>
            <w:r w:rsidR="004E5913" w:rsidRPr="007C3248">
              <w:rPr>
                <w:rFonts w:ascii="DeutscheBank" w:hAnsi="DeutscheBank"/>
              </w:rPr>
              <w:t xml:space="preserve">each contract of </w:t>
            </w:r>
            <w:r w:rsidR="00B936BE" w:rsidRPr="007C3248">
              <w:rPr>
                <w:rFonts w:ascii="DeutscheBank" w:hAnsi="DeutscheBank"/>
              </w:rPr>
              <w:t>a particular class of contracts will be subject to the tear-up.</w:t>
            </w:r>
            <w:r w:rsidR="00185753" w:rsidRPr="007C3248">
              <w:rPr>
                <w:rFonts w:ascii="DeutscheBank" w:hAnsi="DeutscheBank"/>
              </w:rPr>
              <w:t xml:space="preserve"> Generally, this portion will be sized at the minimum level to permit the CCP</w:t>
            </w:r>
            <w:r w:rsidR="00E778D5" w:rsidRPr="007C3248">
              <w:rPr>
                <w:rFonts w:ascii="DeutscheBank" w:hAnsi="DeutscheBank"/>
              </w:rPr>
              <w:t xml:space="preserve"> to </w:t>
            </w:r>
            <w:r w:rsidR="00B170D1" w:rsidRPr="007C3248">
              <w:rPr>
                <w:rFonts w:ascii="DeutscheBank" w:hAnsi="DeutscheBank"/>
              </w:rPr>
              <w:t>rebalance</w:t>
            </w:r>
            <w:r w:rsidR="00E778D5" w:rsidRPr="007C3248">
              <w:rPr>
                <w:rFonts w:ascii="DeutscheBank" w:hAnsi="DeutscheBank"/>
              </w:rPr>
              <w:t xml:space="preserve"> the</w:t>
            </w:r>
            <w:r w:rsidR="00774F0D" w:rsidRPr="007C3248">
              <w:rPr>
                <w:rFonts w:ascii="DeutscheBank" w:hAnsi="DeutscheBank"/>
              </w:rPr>
              <w:t xml:space="preserve"> contracts </w:t>
            </w:r>
            <w:r w:rsidR="00804D77" w:rsidRPr="007C3248">
              <w:rPr>
                <w:rFonts w:ascii="DeutscheBank" w:hAnsi="DeutscheBank"/>
              </w:rPr>
              <w:t>of that class following the</w:t>
            </w:r>
            <w:r w:rsidR="00E778D5" w:rsidRPr="007C3248">
              <w:rPr>
                <w:rFonts w:ascii="DeutscheBank" w:hAnsi="DeutscheBank"/>
              </w:rPr>
              <w:t xml:space="preserve"> default</w:t>
            </w:r>
            <w:r w:rsidR="00804D77" w:rsidRPr="007C3248">
              <w:rPr>
                <w:rFonts w:ascii="DeutscheBank" w:hAnsi="DeutscheBank"/>
              </w:rPr>
              <w:t xml:space="preserve"> or other event leading to the tear-up.</w:t>
            </w:r>
          </w:p>
          <w:p w14:paraId="4C4FD327" w14:textId="2D646A9E" w:rsidR="009C7DC2" w:rsidRPr="007C3248" w:rsidRDefault="009C7DC2" w:rsidP="00F42986">
            <w:pPr>
              <w:spacing w:after="0" w:line="240" w:lineRule="auto"/>
              <w:jc w:val="left"/>
              <w:rPr>
                <w:rFonts w:ascii="DeutscheBank" w:hAnsi="DeutscheBank"/>
              </w:rPr>
            </w:pPr>
          </w:p>
          <w:p w14:paraId="005AF503" w14:textId="1AA8F77B" w:rsidR="009C7DC2" w:rsidRPr="007C3248" w:rsidRDefault="009C7DC2" w:rsidP="00F42986">
            <w:pPr>
              <w:spacing w:after="0" w:line="240" w:lineRule="auto"/>
              <w:jc w:val="left"/>
              <w:rPr>
                <w:rFonts w:ascii="DeutscheBank" w:hAnsi="DeutscheBank"/>
              </w:rPr>
            </w:pPr>
            <w:r w:rsidRPr="007C3248">
              <w:rPr>
                <w:rFonts w:ascii="DeutscheBank" w:hAnsi="DeutscheBank"/>
              </w:rPr>
              <w:t>A partial tear-up may</w:t>
            </w:r>
            <w:r w:rsidR="009E7C71" w:rsidRPr="007C3248">
              <w:rPr>
                <w:rFonts w:ascii="DeutscheBank" w:hAnsi="DeutscheBank"/>
              </w:rPr>
              <w:t xml:space="preserve"> lead to the tear-up of only </w:t>
            </w:r>
            <w:r w:rsidR="00C36A73" w:rsidRPr="007C3248">
              <w:rPr>
                <w:rFonts w:ascii="DeutscheBank" w:hAnsi="DeutscheBank"/>
              </w:rPr>
              <w:t xml:space="preserve">portions of </w:t>
            </w:r>
            <w:r w:rsidR="009E7C71" w:rsidRPr="007C3248">
              <w:rPr>
                <w:rFonts w:ascii="DeutscheBank" w:hAnsi="DeutscheBank"/>
              </w:rPr>
              <w:t xml:space="preserve">contracts that </w:t>
            </w:r>
            <w:r w:rsidR="00C36A73" w:rsidRPr="007C3248">
              <w:rPr>
                <w:rFonts w:ascii="DeutscheBank" w:hAnsi="DeutscheBank"/>
              </w:rPr>
              <w:t>have an opposing</w:t>
            </w:r>
            <w:r w:rsidR="00851D4E" w:rsidRPr="007C3248">
              <w:rPr>
                <w:rFonts w:ascii="DeutscheBank" w:hAnsi="DeutscheBank"/>
              </w:rPr>
              <w:t xml:space="preserve"> </w:t>
            </w:r>
            <w:r w:rsidR="00A702AC" w:rsidRPr="007C3248">
              <w:rPr>
                <w:rFonts w:ascii="DeutscheBank" w:hAnsi="DeutscheBank"/>
              </w:rPr>
              <w:t xml:space="preserve">directional </w:t>
            </w:r>
            <w:r w:rsidR="00851D4E" w:rsidRPr="007C3248">
              <w:rPr>
                <w:rFonts w:ascii="DeutscheBank" w:hAnsi="DeutscheBank"/>
              </w:rPr>
              <w:t xml:space="preserve">position to </w:t>
            </w:r>
            <w:r w:rsidR="00851D4E" w:rsidRPr="007C3248">
              <w:rPr>
                <w:rFonts w:ascii="DeutscheBank" w:hAnsi="DeutscheBank"/>
              </w:rPr>
              <w:lastRenderedPageBreak/>
              <w:t>contracts in the defaulting clearing member’s portfolio</w:t>
            </w:r>
            <w:r w:rsidR="0064114C" w:rsidRPr="007C3248">
              <w:rPr>
                <w:rFonts w:ascii="DeutscheBank" w:hAnsi="DeutscheBank"/>
              </w:rPr>
              <w:t xml:space="preserve"> or it may lead to the tear-up of </w:t>
            </w:r>
            <w:r w:rsidR="0065198D" w:rsidRPr="007C3248">
              <w:rPr>
                <w:rFonts w:ascii="DeutscheBank" w:hAnsi="DeutscheBank"/>
              </w:rPr>
              <w:t xml:space="preserve">portions of contracts that have both an opposing </w:t>
            </w:r>
            <w:r w:rsidR="00A702AC" w:rsidRPr="007C3248">
              <w:rPr>
                <w:rFonts w:ascii="DeutscheBank" w:hAnsi="DeutscheBank"/>
              </w:rPr>
              <w:t xml:space="preserve">directional </w:t>
            </w:r>
            <w:r w:rsidR="0065198D" w:rsidRPr="007C3248">
              <w:rPr>
                <w:rFonts w:ascii="DeutscheBank" w:hAnsi="DeutscheBank"/>
              </w:rPr>
              <w:t xml:space="preserve">position and the same </w:t>
            </w:r>
            <w:r w:rsidR="001217F1" w:rsidRPr="007C3248">
              <w:rPr>
                <w:rFonts w:ascii="DeutscheBank" w:hAnsi="DeutscheBank"/>
              </w:rPr>
              <w:t>directional position.</w:t>
            </w:r>
          </w:p>
          <w:p w14:paraId="6E109433" w14:textId="0D126510" w:rsidR="00486EE0" w:rsidRPr="007C3248" w:rsidRDefault="00486EE0" w:rsidP="00F42986">
            <w:pPr>
              <w:spacing w:after="0" w:line="240" w:lineRule="auto"/>
              <w:jc w:val="left"/>
              <w:rPr>
                <w:rFonts w:ascii="DeutscheBank" w:hAnsi="DeutscheBank"/>
              </w:rPr>
            </w:pPr>
          </w:p>
          <w:p w14:paraId="15BBC618" w14:textId="1E160B63" w:rsidR="00486EE0" w:rsidRPr="007C3248" w:rsidRDefault="00486EE0" w:rsidP="00F42986">
            <w:pPr>
              <w:spacing w:after="0" w:line="240" w:lineRule="auto"/>
              <w:jc w:val="left"/>
              <w:rPr>
                <w:rFonts w:ascii="DeutscheBank" w:hAnsi="DeutscheBank"/>
              </w:rPr>
            </w:pPr>
            <w:r w:rsidRPr="007C3248">
              <w:rPr>
                <w:rFonts w:ascii="DeutscheBank" w:hAnsi="DeutscheBank"/>
              </w:rPr>
              <w:t xml:space="preserve">A tear-up may also be in respect of </w:t>
            </w:r>
            <w:r w:rsidR="00CF530D" w:rsidRPr="007C3248">
              <w:rPr>
                <w:rFonts w:ascii="DeutscheBank" w:hAnsi="DeutscheBank"/>
              </w:rPr>
              <w:t>the entirety of</w:t>
            </w:r>
            <w:r w:rsidRPr="007C3248">
              <w:rPr>
                <w:rFonts w:ascii="DeutscheBank" w:hAnsi="DeutscheBank"/>
              </w:rPr>
              <w:t xml:space="preserve"> the contracts in a particular class.</w:t>
            </w:r>
            <w:r w:rsidR="001217F1" w:rsidRPr="007C3248">
              <w:rPr>
                <w:rFonts w:ascii="DeutscheBank" w:hAnsi="DeutscheBank"/>
              </w:rPr>
              <w:t xml:space="preserve"> Such a tear-up will lead to the tear-up of all contracts in the class</w:t>
            </w:r>
            <w:r w:rsidR="00A702AC" w:rsidRPr="007C3248">
              <w:rPr>
                <w:rFonts w:ascii="DeutscheBank" w:hAnsi="DeutscheBank"/>
              </w:rPr>
              <w:t>, regardless of the direction of the position.</w:t>
            </w:r>
          </w:p>
          <w:p w14:paraId="18AC9E3C" w14:textId="313F334C" w:rsidR="00486EE0" w:rsidRPr="007C3248" w:rsidRDefault="00486EE0" w:rsidP="00F42986">
            <w:pPr>
              <w:spacing w:after="0" w:line="240" w:lineRule="auto"/>
              <w:jc w:val="left"/>
              <w:rPr>
                <w:rFonts w:ascii="DeutscheBank" w:hAnsi="DeutscheBank"/>
              </w:rPr>
            </w:pPr>
          </w:p>
          <w:p w14:paraId="609FB9BB" w14:textId="6A30A0AE" w:rsidR="00486EE0" w:rsidRPr="007C3248" w:rsidRDefault="00486EE0" w:rsidP="00F42986">
            <w:pPr>
              <w:spacing w:after="0" w:line="240" w:lineRule="auto"/>
              <w:jc w:val="left"/>
              <w:rPr>
                <w:rFonts w:ascii="DeutscheBank" w:hAnsi="DeutscheBank"/>
              </w:rPr>
            </w:pPr>
            <w:r w:rsidRPr="007C3248">
              <w:rPr>
                <w:rFonts w:ascii="DeutscheBank" w:hAnsi="DeutscheBank"/>
              </w:rPr>
              <w:t>Typically, a CCP will have broad discretion to determine what constitutes a class of contracts for these purposes.</w:t>
            </w:r>
          </w:p>
          <w:p w14:paraId="5F6076BB" w14:textId="77777777" w:rsidR="00B4553D" w:rsidRPr="007C3248" w:rsidRDefault="00B4553D" w:rsidP="00F42986">
            <w:pPr>
              <w:spacing w:after="0" w:line="240" w:lineRule="auto"/>
              <w:jc w:val="left"/>
              <w:rPr>
                <w:rFonts w:ascii="DeutscheBank" w:hAnsi="DeutscheBank"/>
              </w:rPr>
            </w:pPr>
          </w:p>
          <w:p w14:paraId="30EEBAE7" w14:textId="367725B7" w:rsidR="00F42986" w:rsidRPr="007C3248" w:rsidRDefault="00B4553D" w:rsidP="005E50EE">
            <w:pPr>
              <w:spacing w:after="100" w:line="240" w:lineRule="auto"/>
              <w:jc w:val="left"/>
              <w:rPr>
                <w:rFonts w:ascii="DeutscheBank" w:hAnsi="DeutscheBank"/>
              </w:rPr>
            </w:pPr>
            <w:r w:rsidRPr="007C3248">
              <w:rPr>
                <w:rFonts w:ascii="DeutscheBank" w:hAnsi="DeutscheBank"/>
              </w:rPr>
              <w:t>Partial tear-up</w:t>
            </w:r>
            <w:r w:rsidR="007D57C9" w:rsidRPr="007C3248">
              <w:rPr>
                <w:rFonts w:ascii="DeutscheBank" w:hAnsi="DeutscheBank"/>
              </w:rPr>
              <w:t xml:space="preserve"> is to be contrasted with an invoicing back </w:t>
            </w:r>
            <w:r w:rsidR="005D4E6F" w:rsidRPr="007C3248">
              <w:rPr>
                <w:rFonts w:ascii="DeutscheBank" w:hAnsi="DeutscheBank"/>
              </w:rPr>
              <w:t xml:space="preserve">(described below) </w:t>
            </w:r>
            <w:r w:rsidR="007D57C9" w:rsidRPr="007C3248">
              <w:rPr>
                <w:rFonts w:ascii="DeutscheBank" w:hAnsi="DeutscheBank"/>
              </w:rPr>
              <w:t xml:space="preserve">because it will apply to all the </w:t>
            </w:r>
            <w:r w:rsidRPr="007C3248">
              <w:rPr>
                <w:rFonts w:ascii="DeutscheBank" w:hAnsi="DeutscheBank"/>
              </w:rPr>
              <w:t>c</w:t>
            </w:r>
            <w:r w:rsidR="007D57C9" w:rsidRPr="007C3248">
              <w:rPr>
                <w:rFonts w:ascii="DeutscheBank" w:hAnsi="DeutscheBank"/>
              </w:rPr>
              <w:t xml:space="preserve">ontracts of a particular class of </w:t>
            </w:r>
            <w:r w:rsidRPr="007C3248">
              <w:rPr>
                <w:rFonts w:ascii="DeutscheBank" w:hAnsi="DeutscheBank"/>
              </w:rPr>
              <w:t>c</w:t>
            </w:r>
            <w:r w:rsidR="007D57C9" w:rsidRPr="007C3248">
              <w:rPr>
                <w:rFonts w:ascii="DeutscheBank" w:hAnsi="DeutscheBank"/>
              </w:rPr>
              <w:t xml:space="preserve">ontracts cleared by a CCP </w:t>
            </w:r>
            <w:r w:rsidR="00EF332A" w:rsidRPr="007C3248">
              <w:rPr>
                <w:rFonts w:ascii="DeutscheBank" w:hAnsi="DeutscheBank"/>
              </w:rPr>
              <w:t>(</w:t>
            </w:r>
            <w:r w:rsidR="007D57C9" w:rsidRPr="007C3248">
              <w:rPr>
                <w:rFonts w:ascii="DeutscheBank" w:hAnsi="DeutscheBank"/>
              </w:rPr>
              <w:t xml:space="preserve">as opposed to only </w:t>
            </w:r>
            <w:r w:rsidR="00F403D6" w:rsidRPr="007C3248">
              <w:rPr>
                <w:rFonts w:ascii="DeutscheBank" w:hAnsi="DeutscheBank"/>
              </w:rPr>
              <w:t xml:space="preserve">certain </w:t>
            </w:r>
            <w:r w:rsidRPr="007C3248">
              <w:rPr>
                <w:rFonts w:ascii="DeutscheBank" w:hAnsi="DeutscheBank"/>
              </w:rPr>
              <w:t>c</w:t>
            </w:r>
            <w:r w:rsidR="007D57C9" w:rsidRPr="007C3248">
              <w:rPr>
                <w:rFonts w:ascii="DeutscheBank" w:hAnsi="DeutscheBank"/>
              </w:rPr>
              <w:t xml:space="preserve">ontracts </w:t>
            </w:r>
            <w:r w:rsidR="00F403D6" w:rsidRPr="007C3248">
              <w:rPr>
                <w:rFonts w:ascii="DeutscheBank" w:hAnsi="DeutscheBank"/>
              </w:rPr>
              <w:t xml:space="preserve">identified </w:t>
            </w:r>
            <w:r w:rsidR="007D57C9" w:rsidRPr="007C3248">
              <w:rPr>
                <w:rFonts w:ascii="DeutscheBank" w:hAnsi="DeutscheBank"/>
              </w:rPr>
              <w:t xml:space="preserve">to offset the defaulted </w:t>
            </w:r>
            <w:r w:rsidR="00EF332A" w:rsidRPr="007C3248">
              <w:rPr>
                <w:rFonts w:ascii="DeutscheBank" w:hAnsi="DeutscheBank"/>
              </w:rPr>
              <w:t>c</w:t>
            </w:r>
            <w:r w:rsidR="007D57C9" w:rsidRPr="007C3248">
              <w:rPr>
                <w:rFonts w:ascii="DeutscheBank" w:hAnsi="DeutscheBank"/>
              </w:rPr>
              <w:t xml:space="preserve">ontracts) and so its impact will fall evenly across all equivalent </w:t>
            </w:r>
            <w:r w:rsidR="00EF332A" w:rsidRPr="007C3248">
              <w:rPr>
                <w:rFonts w:ascii="DeutscheBank" w:hAnsi="DeutscheBank"/>
              </w:rPr>
              <w:t>c</w:t>
            </w:r>
            <w:r w:rsidR="007D57C9" w:rsidRPr="007C3248">
              <w:rPr>
                <w:rFonts w:ascii="DeutscheBank" w:hAnsi="DeutscheBank"/>
              </w:rPr>
              <w:t>ontracts forming part of the same class</w:t>
            </w:r>
            <w:r w:rsidR="007D4456" w:rsidRPr="007C3248">
              <w:rPr>
                <w:rFonts w:ascii="DeutscheBank" w:hAnsi="DeutscheBank"/>
              </w:rPr>
              <w:t xml:space="preserve">, although the </w:t>
            </w:r>
            <w:r w:rsidR="006037C5" w:rsidRPr="007C3248">
              <w:rPr>
                <w:rFonts w:ascii="DeutscheBank" w:hAnsi="DeutscheBank"/>
              </w:rPr>
              <w:t>impact may fall upon</w:t>
            </w:r>
            <w:r w:rsidR="009E6591" w:rsidRPr="007C3248">
              <w:rPr>
                <w:rFonts w:ascii="DeutscheBank" w:hAnsi="DeutscheBank"/>
              </w:rPr>
              <w:t xml:space="preserve"> </w:t>
            </w:r>
            <w:r w:rsidR="006037C5" w:rsidRPr="007C3248">
              <w:rPr>
                <w:rFonts w:ascii="DeutscheBank" w:hAnsi="DeutscheBank"/>
              </w:rPr>
              <w:t>only those</w:t>
            </w:r>
            <w:r w:rsidR="009E6591" w:rsidRPr="007C3248">
              <w:rPr>
                <w:rFonts w:ascii="DeutscheBank" w:hAnsi="DeutscheBank"/>
              </w:rPr>
              <w:t xml:space="preserve"> contracts</w:t>
            </w:r>
            <w:r w:rsidR="00814F78" w:rsidRPr="007C3248">
              <w:rPr>
                <w:rFonts w:ascii="DeutscheBank" w:hAnsi="DeutscheBank"/>
              </w:rPr>
              <w:t xml:space="preserve"> having an opposing directional position to the defaulted contracts</w:t>
            </w:r>
            <w:r w:rsidR="007D57C9" w:rsidRPr="007C3248">
              <w:rPr>
                <w:rFonts w:ascii="DeutscheBank" w:hAnsi="DeutscheBank"/>
              </w:rPr>
              <w:t>.</w:t>
            </w:r>
          </w:p>
        </w:tc>
        <w:tc>
          <w:tcPr>
            <w:tcW w:w="2949" w:type="dxa"/>
          </w:tcPr>
          <w:p w14:paraId="494A0381" w14:textId="77777777" w:rsidR="00AE2444" w:rsidRPr="007C3248" w:rsidRDefault="00CE12B7" w:rsidP="00F42986">
            <w:pPr>
              <w:spacing w:after="0" w:line="240" w:lineRule="auto"/>
              <w:jc w:val="left"/>
              <w:rPr>
                <w:rFonts w:ascii="DeutscheBank" w:hAnsi="DeutscheBank"/>
              </w:rPr>
            </w:pPr>
            <w:r w:rsidRPr="007C3248">
              <w:rPr>
                <w:rFonts w:ascii="DeutscheBank" w:hAnsi="DeutscheBank"/>
              </w:rPr>
              <w:lastRenderedPageBreak/>
              <w:t xml:space="preserve">If the CCP implements tear-up measures in respect of a </w:t>
            </w:r>
            <w:r w:rsidR="00313185" w:rsidRPr="007C3248">
              <w:rPr>
                <w:rFonts w:ascii="DeutscheBank" w:hAnsi="DeutscheBank"/>
              </w:rPr>
              <w:t xml:space="preserve">contract </w:t>
            </w:r>
            <w:r w:rsidRPr="007C3248">
              <w:rPr>
                <w:rFonts w:ascii="DeutscheBank" w:hAnsi="DeutscheBank"/>
              </w:rPr>
              <w:t xml:space="preserve">we are clearing for you, the CCP will terminate the relevant </w:t>
            </w:r>
            <w:r w:rsidR="001860CD" w:rsidRPr="007C3248">
              <w:rPr>
                <w:rFonts w:ascii="DeutscheBank" w:hAnsi="DeutscheBank"/>
              </w:rPr>
              <w:t xml:space="preserve">contract </w:t>
            </w:r>
            <w:r w:rsidR="00D34EFC" w:rsidRPr="007C3248">
              <w:rPr>
                <w:rFonts w:ascii="DeutscheBank" w:hAnsi="DeutscheBank"/>
              </w:rPr>
              <w:t>(or a portion of it)</w:t>
            </w:r>
            <w:r w:rsidRPr="007C3248">
              <w:rPr>
                <w:rFonts w:ascii="DeutscheBank" w:hAnsi="DeutscheBank"/>
              </w:rPr>
              <w:t>, perform a close-out calculation and pay any positive resulting sum to us</w:t>
            </w:r>
            <w:r w:rsidR="00EE1EA4" w:rsidRPr="007C3248">
              <w:rPr>
                <w:rFonts w:ascii="DeutscheBank" w:hAnsi="DeutscheBank"/>
              </w:rPr>
              <w:t xml:space="preserve"> or require us to pay any resulting amount to it</w:t>
            </w:r>
            <w:r w:rsidRPr="007C3248">
              <w:rPr>
                <w:rFonts w:ascii="DeutscheBank" w:hAnsi="DeutscheBank"/>
              </w:rPr>
              <w:t xml:space="preserve">. </w:t>
            </w:r>
          </w:p>
          <w:p w14:paraId="2BF3DA0D" w14:textId="77777777" w:rsidR="00AE2444" w:rsidRPr="007C3248" w:rsidRDefault="00AE2444" w:rsidP="00F42986">
            <w:pPr>
              <w:spacing w:after="0" w:line="240" w:lineRule="auto"/>
              <w:jc w:val="left"/>
              <w:rPr>
                <w:rFonts w:ascii="DeutscheBank" w:hAnsi="DeutscheBank"/>
              </w:rPr>
            </w:pPr>
          </w:p>
          <w:p w14:paraId="77BE7F71" w14:textId="77777777" w:rsidR="00AE2444" w:rsidRPr="007C3248" w:rsidRDefault="00AE2444" w:rsidP="00AE2444">
            <w:pPr>
              <w:spacing w:after="0" w:line="240" w:lineRule="auto"/>
              <w:jc w:val="left"/>
              <w:rPr>
                <w:rFonts w:ascii="DeutscheBank" w:hAnsi="DeutscheBank"/>
              </w:rPr>
            </w:pPr>
            <w:r w:rsidRPr="007C3248">
              <w:rPr>
                <w:rFonts w:ascii="DeutscheBank" w:hAnsi="DeutscheBank"/>
              </w:rPr>
              <w:t xml:space="preserve">Where we are facilitating an indirect clearing service, the CCP will make the initial payment of any positive resulting sum to or require payment of any resulting amount from the clearing member providing indirect clearing services and the clearing member will </w:t>
            </w:r>
            <w:r w:rsidRPr="007C3248">
              <w:rPr>
                <w:rFonts w:ascii="DeutscheBank" w:hAnsi="DeutscheBank"/>
              </w:rPr>
              <w:lastRenderedPageBreak/>
              <w:t>either make a corresponding payment to us or require us to make a corresponding payment to it.</w:t>
            </w:r>
          </w:p>
          <w:p w14:paraId="622C17F2" w14:textId="77777777" w:rsidR="00AE2444" w:rsidRPr="007C3248" w:rsidRDefault="00AE2444" w:rsidP="00AE2444">
            <w:pPr>
              <w:spacing w:after="0" w:line="240" w:lineRule="auto"/>
              <w:jc w:val="left"/>
              <w:rPr>
                <w:rFonts w:ascii="DeutscheBank" w:hAnsi="DeutscheBank"/>
              </w:rPr>
            </w:pPr>
          </w:p>
          <w:p w14:paraId="4984690A" w14:textId="189A7C13" w:rsidR="00AE2444" w:rsidRPr="007C3248" w:rsidRDefault="00AE2444" w:rsidP="00F42986">
            <w:pPr>
              <w:spacing w:after="0" w:line="240" w:lineRule="auto"/>
              <w:jc w:val="left"/>
              <w:rPr>
                <w:rFonts w:ascii="DeutscheBank" w:hAnsi="DeutscheBank"/>
              </w:rPr>
            </w:pPr>
            <w:r w:rsidRPr="007C3248">
              <w:rPr>
                <w:rFonts w:ascii="DeutscheBank" w:hAnsi="DeutscheBank"/>
              </w:rPr>
              <w:t>Whilst we will account to you for any payment we receive, if we are required to make a payment to the CCP or our clearing member, we will claim that amount from you.</w:t>
            </w:r>
            <w:r w:rsidRPr="007C3248" w:rsidDel="000C36FC">
              <w:rPr>
                <w:rStyle w:val="FootnoteReference"/>
                <w:rFonts w:ascii="DeutscheBank" w:hAnsi="DeutscheBank"/>
              </w:rPr>
              <w:t xml:space="preserve"> </w:t>
            </w:r>
          </w:p>
          <w:p w14:paraId="50AE9D71" w14:textId="77777777" w:rsidR="00AE2444" w:rsidRPr="007C3248" w:rsidRDefault="00AE2444" w:rsidP="00F42986">
            <w:pPr>
              <w:spacing w:after="0" w:line="240" w:lineRule="auto"/>
              <w:jc w:val="left"/>
              <w:rPr>
                <w:rFonts w:ascii="DeutscheBank" w:hAnsi="DeutscheBank"/>
              </w:rPr>
            </w:pPr>
          </w:p>
          <w:p w14:paraId="7A37A022" w14:textId="4500F472" w:rsidR="00F42986" w:rsidRPr="007C3248" w:rsidRDefault="00CE12B7" w:rsidP="00F42986">
            <w:pPr>
              <w:spacing w:after="0" w:line="240" w:lineRule="auto"/>
              <w:jc w:val="left"/>
              <w:rPr>
                <w:rFonts w:ascii="DeutscheBank" w:hAnsi="DeutscheBank"/>
              </w:rPr>
            </w:pPr>
            <w:r w:rsidRPr="007C3248">
              <w:rPr>
                <w:rFonts w:ascii="DeutscheBank" w:hAnsi="DeutscheBank"/>
              </w:rPr>
              <w:t xml:space="preserve">In this context, you may incur incidental costs in the process of the closing out of your </w:t>
            </w:r>
            <w:r w:rsidR="001860CD" w:rsidRPr="007C3248">
              <w:rPr>
                <w:rFonts w:ascii="DeutscheBank" w:hAnsi="DeutscheBank"/>
              </w:rPr>
              <w:t xml:space="preserve">contracts </w:t>
            </w:r>
            <w:r w:rsidRPr="007C3248">
              <w:rPr>
                <w:rFonts w:ascii="DeutscheBank" w:hAnsi="DeutscheBank"/>
              </w:rPr>
              <w:t xml:space="preserve">and you may incur additional costs if you decide to enter into a replacement </w:t>
            </w:r>
            <w:r w:rsidR="00313185" w:rsidRPr="007C3248">
              <w:rPr>
                <w:rFonts w:ascii="DeutscheBank" w:hAnsi="DeutscheBank"/>
              </w:rPr>
              <w:t>contract</w:t>
            </w:r>
            <w:r w:rsidRPr="007C3248">
              <w:rPr>
                <w:rFonts w:ascii="DeutscheBank" w:hAnsi="DeutscheBank"/>
              </w:rPr>
              <w:t>.</w:t>
            </w:r>
            <w:r w:rsidR="00C807A9" w:rsidRPr="007C3248">
              <w:rPr>
                <w:rFonts w:ascii="DeutscheBank" w:hAnsi="DeutscheBank"/>
              </w:rPr>
              <w:t xml:space="preserve"> You may also suffer a loss</w:t>
            </w:r>
            <w:r w:rsidR="007E20F4" w:rsidRPr="007C3248">
              <w:rPr>
                <w:rFonts w:ascii="DeutscheBank" w:hAnsi="DeutscheBank"/>
              </w:rPr>
              <w:t xml:space="preserve"> if the close-out value is different to </w:t>
            </w:r>
            <w:r w:rsidR="008936FF" w:rsidRPr="007C3248">
              <w:rPr>
                <w:rFonts w:ascii="DeutscheBank" w:hAnsi="DeutscheBank"/>
              </w:rPr>
              <w:t>the value of the closed-out contract recorded in your books.</w:t>
            </w:r>
          </w:p>
          <w:p w14:paraId="03F5353C" w14:textId="77777777" w:rsidR="004A72F1" w:rsidRPr="007C3248" w:rsidRDefault="004A72F1" w:rsidP="00F42986">
            <w:pPr>
              <w:spacing w:after="0" w:line="240" w:lineRule="auto"/>
              <w:jc w:val="left"/>
              <w:rPr>
                <w:rFonts w:ascii="DeutscheBank" w:hAnsi="DeutscheBank"/>
              </w:rPr>
            </w:pPr>
          </w:p>
          <w:p w14:paraId="51850509" w14:textId="26967FF1" w:rsidR="004A72F1" w:rsidRPr="007C3248" w:rsidRDefault="004A72F1" w:rsidP="00F42986">
            <w:pPr>
              <w:spacing w:after="0" w:line="240" w:lineRule="auto"/>
              <w:jc w:val="left"/>
              <w:rPr>
                <w:rFonts w:ascii="DeutscheBank" w:hAnsi="DeutscheBank"/>
              </w:rPr>
            </w:pPr>
            <w:r w:rsidRPr="007C3248">
              <w:rPr>
                <w:rFonts w:ascii="DeutscheBank" w:hAnsi="DeutscheBank"/>
              </w:rPr>
              <w:t xml:space="preserve">If you decide not to enter into a replacement </w:t>
            </w:r>
            <w:r w:rsidR="00313185" w:rsidRPr="007C3248">
              <w:rPr>
                <w:rFonts w:ascii="DeutscheBank" w:hAnsi="DeutscheBank"/>
              </w:rPr>
              <w:t>contract</w:t>
            </w:r>
            <w:r w:rsidRPr="007C3248">
              <w:rPr>
                <w:rFonts w:ascii="DeutscheBank" w:hAnsi="DeutscheBank"/>
              </w:rPr>
              <w:t>,</w:t>
            </w:r>
            <w:r w:rsidR="00264ECC" w:rsidRPr="007C3248">
              <w:rPr>
                <w:rFonts w:ascii="DeutscheBank" w:hAnsi="DeutscheBank"/>
              </w:rPr>
              <w:t xml:space="preserve"> you will be exposed to the risk of adverse market movements</w:t>
            </w:r>
            <w:r w:rsidR="00165447" w:rsidRPr="007C3248">
              <w:rPr>
                <w:rFonts w:ascii="DeutscheBank" w:hAnsi="DeutscheBank"/>
              </w:rPr>
              <w:t xml:space="preserve"> that were previously hedged by the </w:t>
            </w:r>
            <w:r w:rsidR="001860CD" w:rsidRPr="007C3248">
              <w:rPr>
                <w:rFonts w:ascii="DeutscheBank" w:hAnsi="DeutscheBank"/>
              </w:rPr>
              <w:t>contract.</w:t>
            </w:r>
            <w:r w:rsidR="00CE445F">
              <w:rPr>
                <w:rFonts w:ascii="DeutscheBank" w:hAnsi="DeutscheBank"/>
              </w:rPr>
              <w:br/>
            </w:r>
          </w:p>
        </w:tc>
      </w:tr>
      <w:tr w:rsidR="00725AEE" w:rsidRPr="007C3248" w14:paraId="6A23A7DD" w14:textId="77777777" w:rsidTr="00A33CF0">
        <w:tc>
          <w:tcPr>
            <w:tcW w:w="1443" w:type="dxa"/>
          </w:tcPr>
          <w:p w14:paraId="0D856AAB" w14:textId="4DB5F54D" w:rsidR="00725AEE" w:rsidRPr="007C3248" w:rsidRDefault="00725AEE" w:rsidP="00E723FB">
            <w:pPr>
              <w:spacing w:after="0" w:line="240" w:lineRule="auto"/>
              <w:jc w:val="center"/>
              <w:rPr>
                <w:rFonts w:ascii="DeutscheBank" w:hAnsi="DeutscheBank"/>
              </w:rPr>
            </w:pPr>
            <w:r w:rsidRPr="007C3248">
              <w:rPr>
                <w:rFonts w:ascii="DeutscheBank" w:hAnsi="DeutscheBank"/>
              </w:rPr>
              <w:lastRenderedPageBreak/>
              <w:t>Invoicing Back</w:t>
            </w:r>
          </w:p>
        </w:tc>
        <w:tc>
          <w:tcPr>
            <w:tcW w:w="4624" w:type="dxa"/>
          </w:tcPr>
          <w:p w14:paraId="7973C293" w14:textId="0C586813" w:rsidR="00725AEE" w:rsidRPr="007C3248" w:rsidRDefault="001850FA" w:rsidP="00725AEE">
            <w:pPr>
              <w:spacing w:after="0" w:line="240" w:lineRule="auto"/>
              <w:jc w:val="left"/>
              <w:rPr>
                <w:rFonts w:ascii="DeutscheBank" w:hAnsi="DeutscheBank"/>
              </w:rPr>
            </w:pPr>
            <w:r w:rsidRPr="007C3248">
              <w:rPr>
                <w:rFonts w:ascii="DeutscheBank" w:hAnsi="DeutscheBank"/>
              </w:rPr>
              <w:t>A process by which a CCP may terminate specific contracts in order to rebalance its book</w:t>
            </w:r>
            <w:r w:rsidR="0087018D" w:rsidRPr="007C3248">
              <w:rPr>
                <w:rFonts w:ascii="DeutscheBank" w:hAnsi="DeutscheBank"/>
              </w:rPr>
              <w:t>.</w:t>
            </w:r>
            <w:r w:rsidRPr="007C3248">
              <w:rPr>
                <w:rFonts w:ascii="DeutscheBank" w:hAnsi="DeutscheBank"/>
              </w:rPr>
              <w:t xml:space="preserve"> This tool is normally available to CCPs if a clearing member </w:t>
            </w:r>
            <w:r w:rsidRPr="007C3248">
              <w:rPr>
                <w:rFonts w:ascii="DeutscheBank" w:hAnsi="DeutscheBank"/>
              </w:rPr>
              <w:lastRenderedPageBreak/>
              <w:t xml:space="preserve">defaults and its positions cannot be auctioned off. The CCP can terminate </w:t>
            </w:r>
            <w:r w:rsidR="002457DF" w:rsidRPr="007C3248">
              <w:rPr>
                <w:rFonts w:ascii="DeutscheBank" w:hAnsi="DeutscheBank"/>
              </w:rPr>
              <w:t xml:space="preserve">contracts that have an </w:t>
            </w:r>
            <w:r w:rsidRPr="007C3248">
              <w:rPr>
                <w:rFonts w:ascii="DeutscheBank" w:hAnsi="DeutscheBank"/>
              </w:rPr>
              <w:t xml:space="preserve">opposing </w:t>
            </w:r>
            <w:r w:rsidR="00601C4F" w:rsidRPr="007C3248">
              <w:rPr>
                <w:rFonts w:ascii="DeutscheBank" w:hAnsi="DeutscheBank"/>
              </w:rPr>
              <w:t xml:space="preserve">directional </w:t>
            </w:r>
            <w:r w:rsidRPr="007C3248">
              <w:rPr>
                <w:rFonts w:ascii="DeutscheBank" w:hAnsi="DeutscheBank"/>
              </w:rPr>
              <w:t>position to re-balance the CCP's books. It may also be available following a non-default loss, a force majeure or other emergency.</w:t>
            </w:r>
          </w:p>
          <w:p w14:paraId="68FC7A1C" w14:textId="77777777" w:rsidR="00725AEE" w:rsidRPr="007C3248" w:rsidRDefault="00725AEE" w:rsidP="00725AEE">
            <w:pPr>
              <w:spacing w:after="0" w:line="240" w:lineRule="auto"/>
              <w:jc w:val="left"/>
              <w:rPr>
                <w:rFonts w:ascii="DeutscheBank" w:hAnsi="DeutscheBank"/>
              </w:rPr>
            </w:pPr>
          </w:p>
          <w:p w14:paraId="5259D91E" w14:textId="35E14BC2" w:rsidR="00725AEE" w:rsidRPr="007C3248" w:rsidRDefault="00725AEE" w:rsidP="00725AEE">
            <w:pPr>
              <w:spacing w:after="0" w:line="240" w:lineRule="auto"/>
              <w:jc w:val="left"/>
              <w:rPr>
                <w:rFonts w:ascii="DeutscheBank" w:hAnsi="DeutscheBank"/>
              </w:rPr>
            </w:pPr>
            <w:r w:rsidRPr="007C3248">
              <w:rPr>
                <w:rFonts w:ascii="DeutscheBank" w:hAnsi="DeutscheBank"/>
              </w:rPr>
              <w:t xml:space="preserve">Invoicing back is to be contrasted with a partial tear-up </w:t>
            </w:r>
            <w:r w:rsidR="00601C4F" w:rsidRPr="007C3248">
              <w:rPr>
                <w:rFonts w:ascii="DeutscheBank" w:hAnsi="DeutscheBank"/>
              </w:rPr>
              <w:t xml:space="preserve">(described above) </w:t>
            </w:r>
            <w:r w:rsidRPr="007C3248">
              <w:rPr>
                <w:rFonts w:ascii="DeutscheBank" w:hAnsi="DeutscheBank"/>
              </w:rPr>
              <w:t xml:space="preserve">because it will apply to some, but not all the contracts of a particular class of contracts cleared by a CCP (as opposed to </w:t>
            </w:r>
            <w:r w:rsidR="00EE0335" w:rsidRPr="007C3248">
              <w:rPr>
                <w:rFonts w:ascii="DeutscheBank" w:hAnsi="DeutscheBank"/>
              </w:rPr>
              <w:t xml:space="preserve">portions of all </w:t>
            </w:r>
            <w:r w:rsidRPr="007C3248">
              <w:rPr>
                <w:rFonts w:ascii="DeutscheBank" w:hAnsi="DeutscheBank"/>
              </w:rPr>
              <w:t xml:space="preserve">those contracts </w:t>
            </w:r>
            <w:r w:rsidR="00A55FED" w:rsidRPr="007C3248">
              <w:rPr>
                <w:rFonts w:ascii="DeutscheBank" w:hAnsi="DeutscheBank"/>
              </w:rPr>
              <w:t>in the same class as</w:t>
            </w:r>
            <w:r w:rsidRPr="007C3248">
              <w:rPr>
                <w:rFonts w:ascii="DeutscheBank" w:hAnsi="DeutscheBank"/>
              </w:rPr>
              <w:t xml:space="preserve"> the defaulted contracts) and so its impact may not fall evenly across all clearing members holding equivalent contracts forming part of the same class.</w:t>
            </w:r>
            <w:r w:rsidR="00A55FED" w:rsidRPr="007C3248">
              <w:rPr>
                <w:rFonts w:ascii="DeutscheBank" w:hAnsi="DeutscheBank"/>
              </w:rPr>
              <w:t xml:space="preserve"> Unlike partial tear-up</w:t>
            </w:r>
            <w:r w:rsidR="00013387" w:rsidRPr="007C3248">
              <w:rPr>
                <w:rFonts w:ascii="DeutscheBank" w:hAnsi="DeutscheBank"/>
              </w:rPr>
              <w:t xml:space="preserve">, which may apply to contracts having </w:t>
            </w:r>
            <w:r w:rsidR="00724E03" w:rsidRPr="007C3248">
              <w:rPr>
                <w:rFonts w:ascii="DeutscheBank" w:hAnsi="DeutscheBank"/>
              </w:rPr>
              <w:t>different</w:t>
            </w:r>
            <w:r w:rsidR="00013387" w:rsidRPr="007C3248">
              <w:rPr>
                <w:rFonts w:ascii="DeutscheBank" w:hAnsi="DeutscheBank"/>
              </w:rPr>
              <w:t xml:space="preserve"> direction</w:t>
            </w:r>
            <w:r w:rsidR="00724E03" w:rsidRPr="007C3248">
              <w:rPr>
                <w:rFonts w:ascii="DeutscheBank" w:hAnsi="DeutscheBank"/>
              </w:rPr>
              <w:t>al positions</w:t>
            </w:r>
            <w:r w:rsidR="00013387" w:rsidRPr="007C3248">
              <w:rPr>
                <w:rFonts w:ascii="DeutscheBank" w:hAnsi="DeutscheBank"/>
              </w:rPr>
              <w:t>, invoicing back will only apply to contracts</w:t>
            </w:r>
            <w:r w:rsidR="002275E8" w:rsidRPr="007C3248">
              <w:rPr>
                <w:rFonts w:ascii="DeutscheBank" w:hAnsi="DeutscheBank"/>
              </w:rPr>
              <w:t xml:space="preserve"> having a corresponding opposing directional position to the defaulted contracts.</w:t>
            </w:r>
          </w:p>
        </w:tc>
        <w:tc>
          <w:tcPr>
            <w:tcW w:w="2949" w:type="dxa"/>
          </w:tcPr>
          <w:p w14:paraId="21E8C551" w14:textId="77777777" w:rsidR="00AE2444" w:rsidRPr="007C3248" w:rsidRDefault="001850FA" w:rsidP="00725AEE">
            <w:pPr>
              <w:spacing w:after="0" w:line="240" w:lineRule="auto"/>
              <w:jc w:val="left"/>
              <w:rPr>
                <w:rFonts w:ascii="DeutscheBank" w:hAnsi="DeutscheBank"/>
              </w:rPr>
            </w:pPr>
            <w:r w:rsidRPr="007C3248">
              <w:rPr>
                <w:rFonts w:ascii="DeutscheBank" w:hAnsi="DeutscheBank"/>
              </w:rPr>
              <w:lastRenderedPageBreak/>
              <w:t xml:space="preserve">If the CCP implements </w:t>
            </w:r>
            <w:r w:rsidR="006974C8" w:rsidRPr="007C3248">
              <w:rPr>
                <w:rFonts w:ascii="DeutscheBank" w:hAnsi="DeutscheBank"/>
              </w:rPr>
              <w:t>invoicing back</w:t>
            </w:r>
            <w:r w:rsidRPr="007C3248">
              <w:rPr>
                <w:rFonts w:ascii="DeutscheBank" w:hAnsi="DeutscheBank"/>
              </w:rPr>
              <w:t xml:space="preserve"> measures in respect of a </w:t>
            </w:r>
            <w:r w:rsidR="00C5527B" w:rsidRPr="007C3248">
              <w:rPr>
                <w:rFonts w:ascii="DeutscheBank" w:hAnsi="DeutscheBank"/>
              </w:rPr>
              <w:t xml:space="preserve">contract </w:t>
            </w:r>
            <w:r w:rsidRPr="007C3248">
              <w:rPr>
                <w:rFonts w:ascii="DeutscheBank" w:hAnsi="DeutscheBank"/>
              </w:rPr>
              <w:t xml:space="preserve">we are clearing for you, </w:t>
            </w:r>
            <w:r w:rsidRPr="007C3248">
              <w:rPr>
                <w:rFonts w:ascii="DeutscheBank" w:hAnsi="DeutscheBank"/>
              </w:rPr>
              <w:lastRenderedPageBreak/>
              <w:t xml:space="preserve">the CCP will terminate the relevant </w:t>
            </w:r>
            <w:r w:rsidR="00C5527B" w:rsidRPr="007C3248">
              <w:rPr>
                <w:rFonts w:ascii="DeutscheBank" w:hAnsi="DeutscheBank"/>
              </w:rPr>
              <w:t>contract</w:t>
            </w:r>
            <w:r w:rsidRPr="007C3248">
              <w:rPr>
                <w:rFonts w:ascii="DeutscheBank" w:hAnsi="DeutscheBank"/>
              </w:rPr>
              <w:t>, perform a close-out calculation and pay any positive resulting sum to us</w:t>
            </w:r>
            <w:r w:rsidR="00781065" w:rsidRPr="007C3248">
              <w:rPr>
                <w:rFonts w:ascii="DeutscheBank" w:hAnsi="DeutscheBank"/>
              </w:rPr>
              <w:t xml:space="preserve"> or require us to pay any resulting amount to it</w:t>
            </w:r>
            <w:r w:rsidR="00647BC8" w:rsidRPr="007C3248">
              <w:rPr>
                <w:rFonts w:ascii="DeutscheBank" w:hAnsi="DeutscheBank"/>
              </w:rPr>
              <w:t xml:space="preserve"> (although a requirement to pay the CCP is </w:t>
            </w:r>
            <w:r w:rsidR="00116695" w:rsidRPr="007C3248">
              <w:rPr>
                <w:rFonts w:ascii="DeutscheBank" w:hAnsi="DeutscheBank"/>
              </w:rPr>
              <w:t xml:space="preserve">significantly </w:t>
            </w:r>
            <w:r w:rsidR="00647BC8" w:rsidRPr="007C3248">
              <w:rPr>
                <w:rFonts w:ascii="DeutscheBank" w:hAnsi="DeutscheBank"/>
              </w:rPr>
              <w:t>less likely in an invoicing back)</w:t>
            </w:r>
            <w:r w:rsidRPr="007C3248">
              <w:rPr>
                <w:rFonts w:ascii="DeutscheBank" w:hAnsi="DeutscheBank"/>
              </w:rPr>
              <w:t xml:space="preserve">. </w:t>
            </w:r>
          </w:p>
          <w:p w14:paraId="1A93D368" w14:textId="77777777" w:rsidR="00AE2444" w:rsidRPr="007C3248" w:rsidRDefault="00AE2444" w:rsidP="00725AEE">
            <w:pPr>
              <w:spacing w:after="0" w:line="240" w:lineRule="auto"/>
              <w:jc w:val="left"/>
              <w:rPr>
                <w:rFonts w:ascii="DeutscheBank" w:hAnsi="DeutscheBank"/>
              </w:rPr>
            </w:pPr>
          </w:p>
          <w:p w14:paraId="0AF223FA" w14:textId="7BBF12FB" w:rsidR="00AE2444" w:rsidRPr="007C3248" w:rsidRDefault="00411C5F" w:rsidP="00AE2444">
            <w:pPr>
              <w:spacing w:after="0" w:line="240" w:lineRule="auto"/>
              <w:jc w:val="left"/>
              <w:rPr>
                <w:rFonts w:ascii="DeutscheBank" w:hAnsi="DeutscheBank"/>
              </w:rPr>
            </w:pPr>
            <w:r>
              <w:rPr>
                <w:rFonts w:ascii="DeutscheBank" w:hAnsi="DeutscheBank"/>
              </w:rPr>
              <w:t>W</w:t>
            </w:r>
            <w:r w:rsidR="00AE2444" w:rsidRPr="007C3248">
              <w:rPr>
                <w:rFonts w:ascii="DeutscheBank" w:hAnsi="DeutscheBank"/>
              </w:rPr>
              <w:t>here we are facilitating an indirect clearing service, the CCP will make the initial payment of any positive resulting sum to or require payment of any resulting amount from the clearing member providing indirect clearing services and the clearing member will either make a corresponding payment to us or require us to make a corresponding payment to it.</w:t>
            </w:r>
          </w:p>
          <w:p w14:paraId="065AEAF7" w14:textId="77777777" w:rsidR="00AE2444" w:rsidRPr="007C3248" w:rsidRDefault="00AE2444" w:rsidP="00AE2444">
            <w:pPr>
              <w:spacing w:after="0" w:line="240" w:lineRule="auto"/>
              <w:jc w:val="left"/>
              <w:rPr>
                <w:rFonts w:ascii="DeutscheBank" w:hAnsi="DeutscheBank"/>
              </w:rPr>
            </w:pPr>
          </w:p>
          <w:p w14:paraId="664F4AB6" w14:textId="04B58852" w:rsidR="00AE2444" w:rsidRPr="007C3248" w:rsidRDefault="00AE2444" w:rsidP="00725AEE">
            <w:pPr>
              <w:spacing w:after="0" w:line="240" w:lineRule="auto"/>
              <w:jc w:val="left"/>
              <w:rPr>
                <w:rFonts w:ascii="DeutscheBank" w:hAnsi="DeutscheBank"/>
              </w:rPr>
            </w:pPr>
            <w:r w:rsidRPr="007C3248">
              <w:rPr>
                <w:rFonts w:ascii="DeutscheBank" w:hAnsi="DeutscheBank"/>
              </w:rPr>
              <w:t>Whilst we will account to you for any payment we receive, if we are required to make a payment to the CCP or our clearing member, we will claim that amount from you.</w:t>
            </w:r>
          </w:p>
          <w:p w14:paraId="1794886C" w14:textId="77777777" w:rsidR="00AE2444" w:rsidRPr="007C3248" w:rsidRDefault="00AE2444" w:rsidP="00725AEE">
            <w:pPr>
              <w:spacing w:after="0" w:line="240" w:lineRule="auto"/>
              <w:jc w:val="left"/>
              <w:rPr>
                <w:rFonts w:ascii="DeutscheBank" w:hAnsi="DeutscheBank"/>
              </w:rPr>
            </w:pPr>
          </w:p>
          <w:p w14:paraId="1AD95A2B" w14:textId="79E67E9A" w:rsidR="00725AEE" w:rsidRPr="007C3248" w:rsidRDefault="001850FA" w:rsidP="00725AEE">
            <w:pPr>
              <w:spacing w:after="0" w:line="240" w:lineRule="auto"/>
              <w:jc w:val="left"/>
              <w:rPr>
                <w:rFonts w:ascii="DeutscheBank" w:hAnsi="DeutscheBank"/>
              </w:rPr>
            </w:pPr>
            <w:r w:rsidRPr="007C3248">
              <w:rPr>
                <w:rFonts w:ascii="DeutscheBank" w:hAnsi="DeutscheBank"/>
              </w:rPr>
              <w:t xml:space="preserve">In this context, you may incur incidental costs in the process of the closing out of your </w:t>
            </w:r>
            <w:r w:rsidR="00CC7FAE" w:rsidRPr="007C3248">
              <w:rPr>
                <w:rFonts w:ascii="DeutscheBank" w:hAnsi="DeutscheBank"/>
              </w:rPr>
              <w:lastRenderedPageBreak/>
              <w:t xml:space="preserve">contracts </w:t>
            </w:r>
            <w:r w:rsidRPr="007C3248">
              <w:rPr>
                <w:rFonts w:ascii="DeutscheBank" w:hAnsi="DeutscheBank"/>
              </w:rPr>
              <w:t xml:space="preserve">and you may incur additional costs if you decide to enter into a replacement </w:t>
            </w:r>
            <w:r w:rsidR="00CC7FAE" w:rsidRPr="007C3248">
              <w:rPr>
                <w:rFonts w:ascii="DeutscheBank" w:hAnsi="DeutscheBank"/>
              </w:rPr>
              <w:t>contract</w:t>
            </w:r>
            <w:r w:rsidRPr="007C3248">
              <w:rPr>
                <w:rFonts w:ascii="DeutscheBank" w:hAnsi="DeutscheBank"/>
              </w:rPr>
              <w:t>.</w:t>
            </w:r>
          </w:p>
          <w:p w14:paraId="7A2F70AA" w14:textId="77777777" w:rsidR="00CC7FAE" w:rsidRPr="007C3248" w:rsidRDefault="00CC7FAE" w:rsidP="00725AEE">
            <w:pPr>
              <w:spacing w:after="0" w:line="240" w:lineRule="auto"/>
              <w:jc w:val="left"/>
              <w:rPr>
                <w:rFonts w:ascii="DeutscheBank" w:hAnsi="DeutscheBank"/>
              </w:rPr>
            </w:pPr>
          </w:p>
          <w:p w14:paraId="0E17F3D7" w14:textId="77777777" w:rsidR="00CC7FAE" w:rsidRPr="007C3248" w:rsidRDefault="00CC7FAE" w:rsidP="00CC7FAE">
            <w:pPr>
              <w:spacing w:after="0" w:line="240" w:lineRule="auto"/>
              <w:jc w:val="left"/>
              <w:rPr>
                <w:rFonts w:ascii="DeutscheBank" w:hAnsi="DeutscheBank"/>
              </w:rPr>
            </w:pPr>
            <w:r w:rsidRPr="007C3248">
              <w:rPr>
                <w:rFonts w:ascii="DeutscheBank" w:hAnsi="DeutscheBank"/>
              </w:rPr>
              <w:t>You may also suffer a loss if the close-out value is different to the value of the closed-out contract recorded in your books.</w:t>
            </w:r>
          </w:p>
          <w:p w14:paraId="47F23D12" w14:textId="77777777" w:rsidR="00CC7FAE" w:rsidRPr="007C3248" w:rsidRDefault="00CC7FAE" w:rsidP="00CC7FAE">
            <w:pPr>
              <w:spacing w:after="0" w:line="240" w:lineRule="auto"/>
              <w:jc w:val="left"/>
              <w:rPr>
                <w:rFonts w:ascii="DeutscheBank" w:hAnsi="DeutscheBank"/>
              </w:rPr>
            </w:pPr>
          </w:p>
          <w:p w14:paraId="5BEB3A2D" w14:textId="73F6BFAB" w:rsidR="005E50EE" w:rsidRPr="007C3248" w:rsidRDefault="00CC7FAE" w:rsidP="00CC7FAE">
            <w:pPr>
              <w:spacing w:after="0" w:line="240" w:lineRule="auto"/>
              <w:jc w:val="left"/>
              <w:rPr>
                <w:rFonts w:ascii="DeutscheBank" w:hAnsi="DeutscheBank"/>
              </w:rPr>
            </w:pPr>
            <w:r w:rsidRPr="007C3248">
              <w:rPr>
                <w:rFonts w:ascii="DeutscheBank" w:hAnsi="DeutscheBank"/>
              </w:rPr>
              <w:t>If you decide not to enter into a replacement contract, you will be exposed to the risk of adverse market movements that were previously hedged by the contract.</w:t>
            </w:r>
            <w:r w:rsidR="00DB53CB">
              <w:rPr>
                <w:rFonts w:ascii="DeutscheBank" w:hAnsi="DeutscheBank"/>
              </w:rPr>
              <w:br/>
            </w:r>
          </w:p>
        </w:tc>
      </w:tr>
      <w:tr w:rsidR="008A155E" w:rsidRPr="007C3248" w14:paraId="66A0C00F" w14:textId="77777777" w:rsidTr="00A33CF0">
        <w:tc>
          <w:tcPr>
            <w:tcW w:w="1443" w:type="dxa"/>
          </w:tcPr>
          <w:p w14:paraId="039BD5EC" w14:textId="3743E101" w:rsidR="008A155E" w:rsidRPr="007C3248" w:rsidRDefault="008A155E" w:rsidP="00E723FB">
            <w:pPr>
              <w:spacing w:after="0" w:line="240" w:lineRule="auto"/>
              <w:jc w:val="center"/>
              <w:rPr>
                <w:rFonts w:ascii="DeutscheBank" w:hAnsi="DeutscheBank"/>
              </w:rPr>
            </w:pPr>
            <w:r w:rsidRPr="007C3248">
              <w:rPr>
                <w:rFonts w:ascii="DeutscheBank" w:hAnsi="DeutscheBank"/>
              </w:rPr>
              <w:lastRenderedPageBreak/>
              <w:t>Variation Margin Gains Haircutting (VMGH) measures</w:t>
            </w:r>
          </w:p>
        </w:tc>
        <w:tc>
          <w:tcPr>
            <w:tcW w:w="4624" w:type="dxa"/>
          </w:tcPr>
          <w:p w14:paraId="2BFFA4F0" w14:textId="77777777" w:rsidR="008A155E" w:rsidRPr="007C3248" w:rsidRDefault="008A155E" w:rsidP="008A155E">
            <w:pPr>
              <w:spacing w:after="0" w:line="240" w:lineRule="auto"/>
              <w:jc w:val="left"/>
              <w:rPr>
                <w:rFonts w:ascii="DeutscheBank" w:hAnsi="DeutscheBank"/>
              </w:rPr>
            </w:pPr>
            <w:r w:rsidRPr="007C3248">
              <w:rPr>
                <w:rFonts w:ascii="DeutscheBank" w:hAnsi="DeutscheBank"/>
              </w:rPr>
              <w:t xml:space="preserve">VMGH is used to reduce the amount of variation margin a CCP is required to transfer to non-defaulting clearing members where such obligation arises from a move in the mark-to-market value of a contract in favour of the clearing member after the CCP triggers a default process. </w:t>
            </w:r>
          </w:p>
          <w:p w14:paraId="5C6B086F" w14:textId="77777777" w:rsidR="008A155E" w:rsidRPr="007C3248" w:rsidRDefault="008A155E" w:rsidP="008A155E">
            <w:pPr>
              <w:spacing w:after="0" w:line="240" w:lineRule="auto"/>
              <w:jc w:val="left"/>
              <w:rPr>
                <w:rFonts w:ascii="DeutscheBank" w:hAnsi="DeutscheBank"/>
              </w:rPr>
            </w:pPr>
          </w:p>
          <w:p w14:paraId="0C6A5FDB" w14:textId="2909A69C" w:rsidR="008A155E" w:rsidRPr="007C3248" w:rsidRDefault="008A155E" w:rsidP="008A155E">
            <w:pPr>
              <w:spacing w:after="0" w:line="240" w:lineRule="auto"/>
              <w:jc w:val="left"/>
              <w:rPr>
                <w:rFonts w:ascii="DeutscheBank" w:hAnsi="DeutscheBank"/>
              </w:rPr>
            </w:pPr>
            <w:r w:rsidRPr="007C3248">
              <w:rPr>
                <w:rFonts w:ascii="DeutscheBank" w:hAnsi="DeutscheBank"/>
              </w:rPr>
              <w:t>Different drafting may be used to achieve this effect, for example, there may be a permanent reduction in the variation margin obligation that affects the value of the affected contract or an additional payment obligation may arise in favour of the CCP under the affected contract that has the effect of reducing the CCP’s variation margin obligation.</w:t>
            </w:r>
          </w:p>
        </w:tc>
        <w:tc>
          <w:tcPr>
            <w:tcW w:w="2949" w:type="dxa"/>
          </w:tcPr>
          <w:p w14:paraId="5977B58F" w14:textId="7D5AD764" w:rsidR="00AE2444" w:rsidRPr="007C3248" w:rsidRDefault="008A155E" w:rsidP="00AE2444">
            <w:pPr>
              <w:spacing w:after="0" w:line="240" w:lineRule="auto"/>
              <w:jc w:val="left"/>
              <w:rPr>
                <w:rFonts w:ascii="DeutscheBank" w:hAnsi="DeutscheBank"/>
              </w:rPr>
            </w:pPr>
            <w:r w:rsidRPr="007C3248">
              <w:rPr>
                <w:rFonts w:ascii="DeutscheBank" w:hAnsi="DeutscheBank"/>
              </w:rPr>
              <w:t>If the CCP implements VMGH measures in respect of any variation margin to be transferred in respect of your contracts, we will pass the impact of any reduction in such variation margin on to you</w:t>
            </w:r>
            <w:r w:rsidR="00AE2444" w:rsidRPr="007C3248">
              <w:rPr>
                <w:rFonts w:ascii="DeutscheBank" w:hAnsi="DeutscheBank"/>
              </w:rPr>
              <w:t xml:space="preserve"> or, where we are facilitating an indirect clearing service, the impact of any reduction of variation margin on the clearing member acting for us in respect to contracts cleared on your behalf.</w:t>
            </w:r>
          </w:p>
          <w:p w14:paraId="65E02927" w14:textId="7EEA4EF2" w:rsidR="008A155E" w:rsidRPr="007C3248" w:rsidRDefault="008A155E" w:rsidP="008A155E">
            <w:pPr>
              <w:spacing w:after="0" w:line="240" w:lineRule="auto"/>
              <w:jc w:val="left"/>
              <w:rPr>
                <w:rFonts w:ascii="DeutscheBank" w:hAnsi="DeutscheBank"/>
              </w:rPr>
            </w:pPr>
            <w:r w:rsidRPr="007C3248">
              <w:rPr>
                <w:rFonts w:ascii="DeutscheBank" w:hAnsi="DeutscheBank"/>
              </w:rPr>
              <w:t xml:space="preserve">This may result in you not receiving any variation margin in respect of any increase </w:t>
            </w:r>
            <w:r w:rsidRPr="007C3248">
              <w:rPr>
                <w:rFonts w:ascii="DeutscheBank" w:hAnsi="DeutscheBank"/>
              </w:rPr>
              <w:lastRenderedPageBreak/>
              <w:t xml:space="preserve">in the mark-to-market value of such contracts in your favour. This may mean that you do not obtain the full value that would otherwise accrue to your affected contracts that would have arisen from market movements after the default and, to the extent that you hold an opposite position in relation to any asset or liability that was hedged by the affected contract, you may face a loss on that position. </w:t>
            </w:r>
          </w:p>
          <w:p w14:paraId="67EC12F9" w14:textId="0285E649" w:rsidR="00E723FB" w:rsidRPr="007C3248" w:rsidRDefault="00E723FB" w:rsidP="008A155E">
            <w:pPr>
              <w:spacing w:after="0" w:line="240" w:lineRule="auto"/>
              <w:jc w:val="left"/>
              <w:rPr>
                <w:rFonts w:ascii="DeutscheBank" w:hAnsi="DeutscheBank"/>
              </w:rPr>
            </w:pPr>
          </w:p>
        </w:tc>
      </w:tr>
      <w:tr w:rsidR="008A155E" w:rsidRPr="007C3248" w14:paraId="7D1A60C5" w14:textId="77777777" w:rsidTr="00A33CF0">
        <w:tc>
          <w:tcPr>
            <w:tcW w:w="1443" w:type="dxa"/>
          </w:tcPr>
          <w:p w14:paraId="3C5E6FA6" w14:textId="7B1FCE8C" w:rsidR="008A155E" w:rsidRPr="007C3248" w:rsidRDefault="008A155E" w:rsidP="00E723FB">
            <w:pPr>
              <w:spacing w:after="0" w:line="240" w:lineRule="auto"/>
              <w:jc w:val="center"/>
              <w:rPr>
                <w:rFonts w:ascii="DeutscheBank" w:hAnsi="DeutscheBank"/>
              </w:rPr>
            </w:pPr>
            <w:r w:rsidRPr="007C3248">
              <w:rPr>
                <w:rFonts w:ascii="DeutscheBank" w:hAnsi="DeutscheBank"/>
              </w:rPr>
              <w:lastRenderedPageBreak/>
              <w:t>Changes to Margin Criteria</w:t>
            </w:r>
          </w:p>
        </w:tc>
        <w:tc>
          <w:tcPr>
            <w:tcW w:w="4624" w:type="dxa"/>
          </w:tcPr>
          <w:p w14:paraId="0DEE14CA" w14:textId="6E504FA3" w:rsidR="008A155E" w:rsidRPr="007C3248" w:rsidRDefault="008A155E" w:rsidP="008A155E">
            <w:pPr>
              <w:spacing w:after="0" w:line="240" w:lineRule="auto"/>
              <w:jc w:val="left"/>
              <w:rPr>
                <w:rFonts w:ascii="DeutscheBank" w:hAnsi="DeutscheBank"/>
              </w:rPr>
            </w:pPr>
            <w:r w:rsidRPr="007C3248">
              <w:rPr>
                <w:rFonts w:ascii="DeutscheBank" w:hAnsi="DeutscheBank"/>
              </w:rPr>
              <w:t>A CCP may have discretion under its rulebook to amend the criteria used to determine the quantum of margin calls (whether variation margin or initial margin), the timing of such margin calls and the assets it will accept as eligible collateral.</w:t>
            </w:r>
          </w:p>
        </w:tc>
        <w:tc>
          <w:tcPr>
            <w:tcW w:w="2949" w:type="dxa"/>
          </w:tcPr>
          <w:p w14:paraId="788A6E55" w14:textId="07C0E8D7" w:rsidR="008A155E" w:rsidRPr="007C3248" w:rsidRDefault="008A155E" w:rsidP="008A155E">
            <w:pPr>
              <w:spacing w:after="0" w:line="240" w:lineRule="auto"/>
              <w:jc w:val="left"/>
              <w:rPr>
                <w:rFonts w:ascii="DeutscheBank" w:hAnsi="DeutscheBank"/>
              </w:rPr>
            </w:pPr>
            <w:r w:rsidRPr="007C3248">
              <w:rPr>
                <w:rFonts w:ascii="DeutscheBank" w:hAnsi="DeutscheBank"/>
              </w:rPr>
              <w:t>If the CCP amends its margin criteria such that the type or amount of variation margin or initial margin we are required to transfer in respect of your contracts</w:t>
            </w:r>
            <w:r w:rsidR="00AE2444" w:rsidRPr="007C3248">
              <w:rPr>
                <w:rFonts w:ascii="DeutscheBank" w:hAnsi="DeutscheBank"/>
              </w:rPr>
              <w:t xml:space="preserve"> (or, where we are facilitating an indirect clearing service, the clearing member acting for us is required to transfer)</w:t>
            </w:r>
            <w:r w:rsidRPr="007C3248">
              <w:rPr>
                <w:rFonts w:ascii="DeutscheBank" w:hAnsi="DeutscheBank"/>
              </w:rPr>
              <w:t xml:space="preserve">, or the timing on which we are required </w:t>
            </w:r>
            <w:r w:rsidR="00AE2444" w:rsidRPr="007C3248">
              <w:rPr>
                <w:rFonts w:ascii="DeutscheBank" w:hAnsi="DeutscheBank"/>
              </w:rPr>
              <w:t xml:space="preserve">(or the clearing member, as applicable, is required) </w:t>
            </w:r>
            <w:r w:rsidRPr="007C3248">
              <w:rPr>
                <w:rFonts w:ascii="DeutscheBank" w:hAnsi="DeutscheBank"/>
              </w:rPr>
              <w:t xml:space="preserve">to make such transfer, changes, we will pass the impact of such changes onto you. </w:t>
            </w:r>
          </w:p>
          <w:p w14:paraId="58286FC6" w14:textId="6B0D2FFC" w:rsidR="008A155E" w:rsidRPr="007C3248" w:rsidRDefault="008A155E" w:rsidP="008A155E">
            <w:pPr>
              <w:spacing w:after="0" w:line="240" w:lineRule="auto"/>
              <w:jc w:val="left"/>
              <w:rPr>
                <w:rFonts w:ascii="DeutscheBank" w:hAnsi="DeutscheBank"/>
              </w:rPr>
            </w:pPr>
            <w:r w:rsidRPr="007C3248">
              <w:rPr>
                <w:rFonts w:ascii="DeutscheBank" w:hAnsi="DeutscheBank"/>
              </w:rPr>
              <w:t xml:space="preserve">This may result in you having to post additional margin in respect of your contracts, no longer being able to transfer </w:t>
            </w:r>
            <w:r w:rsidRPr="007C3248">
              <w:rPr>
                <w:rFonts w:ascii="DeutscheBank" w:hAnsi="DeutscheBank"/>
              </w:rPr>
              <w:lastRenderedPageBreak/>
              <w:t>certain assets as eligible collateral or us changing the deadline by which you must transfer margin</w:t>
            </w:r>
            <w:r w:rsidR="007C1623" w:rsidRPr="007C3248">
              <w:rPr>
                <w:rFonts w:ascii="DeutscheBank" w:hAnsi="DeutscheBank"/>
              </w:rPr>
              <w:t xml:space="preserve"> to us on each business day</w:t>
            </w:r>
            <w:r w:rsidRPr="007C3248">
              <w:rPr>
                <w:rFonts w:ascii="DeutscheBank" w:hAnsi="DeutscheBank"/>
              </w:rPr>
              <w:t>.</w:t>
            </w:r>
          </w:p>
          <w:p w14:paraId="01A048ED" w14:textId="220FEDF4" w:rsidR="00E723FB" w:rsidRPr="007C3248" w:rsidRDefault="00E723FB" w:rsidP="008A155E">
            <w:pPr>
              <w:spacing w:after="0" w:line="240" w:lineRule="auto"/>
              <w:jc w:val="left"/>
              <w:rPr>
                <w:rFonts w:ascii="DeutscheBank" w:hAnsi="DeutscheBank"/>
              </w:rPr>
            </w:pPr>
          </w:p>
        </w:tc>
      </w:tr>
      <w:tr w:rsidR="008A155E" w:rsidRPr="007C3248" w14:paraId="1F5FC73C" w14:textId="77777777" w:rsidTr="00A33CF0">
        <w:tc>
          <w:tcPr>
            <w:tcW w:w="1443" w:type="dxa"/>
          </w:tcPr>
          <w:p w14:paraId="0904C2D8" w14:textId="2ECC27B7" w:rsidR="008A155E" w:rsidRPr="007C3248" w:rsidRDefault="008A155E" w:rsidP="00E723FB">
            <w:pPr>
              <w:spacing w:after="0" w:line="240" w:lineRule="auto"/>
              <w:jc w:val="center"/>
              <w:rPr>
                <w:rFonts w:ascii="DeutscheBank" w:hAnsi="DeutscheBank"/>
              </w:rPr>
            </w:pPr>
            <w:r w:rsidRPr="007C3248">
              <w:rPr>
                <w:rFonts w:ascii="DeutscheBank" w:hAnsi="DeutscheBank"/>
              </w:rPr>
              <w:lastRenderedPageBreak/>
              <w:t>Contingent Variation Margin</w:t>
            </w:r>
          </w:p>
        </w:tc>
        <w:tc>
          <w:tcPr>
            <w:tcW w:w="4624" w:type="dxa"/>
          </w:tcPr>
          <w:p w14:paraId="108AC2AC" w14:textId="31D8FC37" w:rsidR="005D19FC" w:rsidRPr="007C3248" w:rsidRDefault="008A155E" w:rsidP="008A155E">
            <w:pPr>
              <w:spacing w:after="0" w:line="240" w:lineRule="auto"/>
              <w:jc w:val="left"/>
              <w:rPr>
                <w:rFonts w:ascii="DeutscheBank" w:hAnsi="DeutscheBank"/>
              </w:rPr>
            </w:pPr>
            <w:r w:rsidRPr="007C3248">
              <w:rPr>
                <w:rFonts w:ascii="DeutscheBank" w:hAnsi="DeutscheBank"/>
              </w:rPr>
              <w:t xml:space="preserve">In certain situations (e.g. following the default of a clearing member), </w:t>
            </w:r>
            <w:r w:rsidR="00A803B5" w:rsidRPr="007C3248">
              <w:rPr>
                <w:rFonts w:ascii="DeutscheBank" w:hAnsi="DeutscheBank"/>
              </w:rPr>
              <w:t xml:space="preserve">in order to </w:t>
            </w:r>
            <w:r w:rsidR="00C57F4D" w:rsidRPr="007C3248">
              <w:rPr>
                <w:rFonts w:ascii="DeutscheBank" w:hAnsi="DeutscheBank"/>
              </w:rPr>
              <w:t xml:space="preserve">preserve its cashflow, </w:t>
            </w:r>
            <w:r w:rsidRPr="007C3248">
              <w:rPr>
                <w:rFonts w:ascii="DeutscheBank" w:hAnsi="DeutscheBank"/>
              </w:rPr>
              <w:t xml:space="preserve">the CCP </w:t>
            </w:r>
            <w:r w:rsidR="00C57F4D" w:rsidRPr="007C3248">
              <w:rPr>
                <w:rFonts w:ascii="DeutscheBank" w:hAnsi="DeutscheBank"/>
              </w:rPr>
              <w:t>may</w:t>
            </w:r>
            <w:r w:rsidR="00C32429" w:rsidRPr="007C3248">
              <w:rPr>
                <w:rFonts w:ascii="DeutscheBank" w:hAnsi="DeutscheBank"/>
              </w:rPr>
              <w:t xml:space="preserve"> credit </w:t>
            </w:r>
            <w:r w:rsidR="00BE3C4F" w:rsidRPr="007C3248">
              <w:rPr>
                <w:rFonts w:ascii="DeutscheBank" w:hAnsi="DeutscheBank"/>
              </w:rPr>
              <w:t>a</w:t>
            </w:r>
            <w:r w:rsidR="00C32429" w:rsidRPr="007C3248">
              <w:rPr>
                <w:rFonts w:ascii="DeutscheBank" w:hAnsi="DeutscheBank"/>
              </w:rPr>
              <w:t xml:space="preserve"> clearing member with an entitlement to variation margin (e.g. by way of a credit to their account)</w:t>
            </w:r>
            <w:r w:rsidR="00B43427" w:rsidRPr="007C3248">
              <w:rPr>
                <w:rFonts w:ascii="DeutscheBank" w:hAnsi="DeutscheBank"/>
              </w:rPr>
              <w:t xml:space="preserve"> whilst, at the same time, restricting payment of such variation margin to the clearing member or withdrawal </w:t>
            </w:r>
            <w:r w:rsidR="009E547B" w:rsidRPr="007C3248">
              <w:rPr>
                <w:rFonts w:ascii="DeutscheBank" w:hAnsi="DeutscheBank"/>
              </w:rPr>
              <w:t xml:space="preserve">of amounts credited to </w:t>
            </w:r>
            <w:r w:rsidR="00AF4576" w:rsidRPr="007C3248">
              <w:rPr>
                <w:rFonts w:ascii="DeutscheBank" w:hAnsi="DeutscheBank"/>
              </w:rPr>
              <w:t>its</w:t>
            </w:r>
            <w:r w:rsidR="009E547B" w:rsidRPr="007C3248">
              <w:rPr>
                <w:rFonts w:ascii="DeutscheBank" w:hAnsi="DeutscheBank"/>
              </w:rPr>
              <w:t xml:space="preserve"> account by the clearing member. </w:t>
            </w:r>
            <w:r w:rsidR="00030442" w:rsidRPr="007C3248">
              <w:rPr>
                <w:rFonts w:ascii="DeutscheBank" w:hAnsi="DeutscheBank"/>
              </w:rPr>
              <w:t>In the future</w:t>
            </w:r>
            <w:r w:rsidR="00EB2F1D" w:rsidRPr="007C3248">
              <w:rPr>
                <w:rFonts w:ascii="DeutscheBank" w:hAnsi="DeutscheBank"/>
              </w:rPr>
              <w:t xml:space="preserve">, the clearing member may be able to use this contingent variation margin credit in settlement of </w:t>
            </w:r>
            <w:r w:rsidR="00030442" w:rsidRPr="007C3248">
              <w:rPr>
                <w:rFonts w:ascii="DeutscheBank" w:hAnsi="DeutscheBank"/>
              </w:rPr>
              <w:t>an</w:t>
            </w:r>
            <w:r w:rsidR="00EB2F1D" w:rsidRPr="007C3248">
              <w:rPr>
                <w:rFonts w:ascii="DeutscheBank" w:hAnsi="DeutscheBank"/>
              </w:rPr>
              <w:t xml:space="preserve"> obligation to post variation margin</w:t>
            </w:r>
            <w:r w:rsidR="002D1756" w:rsidRPr="007C3248">
              <w:rPr>
                <w:rFonts w:ascii="DeutscheBank" w:hAnsi="DeutscheBank"/>
              </w:rPr>
              <w:t xml:space="preserve"> (and so the clearing member will not need to transfer variation margin to satisfy such obligation)</w:t>
            </w:r>
            <w:r w:rsidR="00EB2F1D" w:rsidRPr="007C3248">
              <w:rPr>
                <w:rFonts w:ascii="DeutscheBank" w:hAnsi="DeutscheBank"/>
              </w:rPr>
              <w:t xml:space="preserve">. </w:t>
            </w:r>
          </w:p>
          <w:p w14:paraId="16B38B20" w14:textId="6F828837" w:rsidR="008A155E" w:rsidRPr="007C3248" w:rsidRDefault="008A155E" w:rsidP="008A155E">
            <w:pPr>
              <w:spacing w:after="0" w:line="240" w:lineRule="auto"/>
              <w:jc w:val="left"/>
              <w:rPr>
                <w:rFonts w:ascii="DeutscheBank" w:hAnsi="DeutscheBank"/>
              </w:rPr>
            </w:pPr>
          </w:p>
        </w:tc>
        <w:tc>
          <w:tcPr>
            <w:tcW w:w="2949" w:type="dxa"/>
          </w:tcPr>
          <w:p w14:paraId="678E9D05" w14:textId="0F167AC7" w:rsidR="00AE2444" w:rsidRPr="007C3248" w:rsidRDefault="00101F54" w:rsidP="00AE2444">
            <w:pPr>
              <w:spacing w:after="0" w:line="240" w:lineRule="auto"/>
              <w:jc w:val="left"/>
              <w:rPr>
                <w:rFonts w:ascii="DeutscheBank" w:hAnsi="DeutscheBank"/>
              </w:rPr>
            </w:pPr>
            <w:r w:rsidRPr="007C3248">
              <w:rPr>
                <w:rFonts w:ascii="DeutscheBank" w:hAnsi="DeutscheBank"/>
              </w:rPr>
              <w:t>W</w:t>
            </w:r>
            <w:r w:rsidR="008A155E" w:rsidRPr="007C3248">
              <w:rPr>
                <w:rFonts w:ascii="DeutscheBank" w:hAnsi="DeutscheBank"/>
              </w:rPr>
              <w:t>e will</w:t>
            </w:r>
            <w:r w:rsidR="00F365E5" w:rsidRPr="007C3248">
              <w:rPr>
                <w:rFonts w:ascii="DeutscheBank" w:hAnsi="DeutscheBank"/>
              </w:rPr>
              <w:t xml:space="preserve"> only transfer an amount of variation margin </w:t>
            </w:r>
            <w:r w:rsidR="00030442" w:rsidRPr="007C3248">
              <w:rPr>
                <w:rFonts w:ascii="DeutscheBank" w:hAnsi="DeutscheBank"/>
              </w:rPr>
              <w:t xml:space="preserve">to you </w:t>
            </w:r>
            <w:r w:rsidR="00F365E5" w:rsidRPr="007C3248">
              <w:rPr>
                <w:rFonts w:ascii="DeutscheBank" w:hAnsi="DeutscheBank"/>
              </w:rPr>
              <w:t xml:space="preserve">equal to the amount </w:t>
            </w:r>
            <w:r w:rsidRPr="007C3248">
              <w:rPr>
                <w:rFonts w:ascii="DeutscheBank" w:hAnsi="DeutscheBank"/>
              </w:rPr>
              <w:t xml:space="preserve">of variation margin </w:t>
            </w:r>
            <w:r w:rsidR="00F365E5" w:rsidRPr="007C3248">
              <w:rPr>
                <w:rFonts w:ascii="DeutscheBank" w:hAnsi="DeutscheBank"/>
              </w:rPr>
              <w:t>we receive from the CCP</w:t>
            </w:r>
            <w:r w:rsidR="0000328B" w:rsidRPr="007C3248">
              <w:rPr>
                <w:rFonts w:ascii="DeutscheBank" w:hAnsi="DeutscheBank"/>
              </w:rPr>
              <w:t xml:space="preserve"> in respect of the contract</w:t>
            </w:r>
            <w:r w:rsidR="00CF01CC" w:rsidRPr="007C3248">
              <w:rPr>
                <w:rFonts w:ascii="DeutscheBank" w:hAnsi="DeutscheBank"/>
              </w:rPr>
              <w:t>s</w:t>
            </w:r>
            <w:r w:rsidR="0000328B" w:rsidRPr="007C3248">
              <w:rPr>
                <w:rFonts w:ascii="DeutscheBank" w:hAnsi="DeutscheBank"/>
              </w:rPr>
              <w:t xml:space="preserve"> we clear on your behalf</w:t>
            </w:r>
            <w:r w:rsidR="00AE2444" w:rsidRPr="007C3248">
              <w:rPr>
                <w:rFonts w:ascii="DeutscheBank" w:hAnsi="DeutscheBank"/>
              </w:rPr>
              <w:t xml:space="preserve"> or, where we are facilitating an indirect clearing service, the amount of variation margin we receive from the clearing member in respect to contracts cleared on your behalf. </w:t>
            </w:r>
          </w:p>
          <w:p w14:paraId="652AB8FB" w14:textId="77777777" w:rsidR="00AE2444" w:rsidRPr="007C3248" w:rsidRDefault="00AE2444" w:rsidP="00AE2444">
            <w:pPr>
              <w:spacing w:after="0" w:line="240" w:lineRule="auto"/>
              <w:jc w:val="left"/>
              <w:rPr>
                <w:rFonts w:ascii="DeutscheBank" w:hAnsi="DeutscheBank"/>
              </w:rPr>
            </w:pPr>
          </w:p>
          <w:p w14:paraId="2BD9B119" w14:textId="3F409BAE" w:rsidR="00AC49E3" w:rsidRPr="007C3248" w:rsidRDefault="00101F54" w:rsidP="008A155E">
            <w:pPr>
              <w:spacing w:after="0" w:line="240" w:lineRule="auto"/>
              <w:jc w:val="left"/>
              <w:rPr>
                <w:rFonts w:ascii="DeutscheBank" w:hAnsi="DeutscheBank"/>
              </w:rPr>
            </w:pPr>
            <w:r w:rsidRPr="007C3248">
              <w:rPr>
                <w:rFonts w:ascii="DeutscheBank" w:hAnsi="DeutscheBank"/>
              </w:rPr>
              <w:t xml:space="preserve">Therefore, if the CCP implements contingent variation margin measures in respect of any variation margin to be transferred in respect of your contracts, you may not receive </w:t>
            </w:r>
            <w:r w:rsidR="001458E3" w:rsidRPr="007C3248">
              <w:rPr>
                <w:rFonts w:ascii="DeutscheBank" w:hAnsi="DeutscheBank"/>
              </w:rPr>
              <w:t>the full amount of variation margin due in respect of those contracts</w:t>
            </w:r>
            <w:r w:rsidR="0000328B" w:rsidRPr="007C3248">
              <w:rPr>
                <w:rFonts w:ascii="DeutscheBank" w:hAnsi="DeutscheBank"/>
              </w:rPr>
              <w:t xml:space="preserve"> at the time such transfer is due</w:t>
            </w:r>
            <w:r w:rsidR="001458E3" w:rsidRPr="007C3248">
              <w:rPr>
                <w:rFonts w:ascii="DeutscheBank" w:hAnsi="DeutscheBank"/>
              </w:rPr>
              <w:t>.</w:t>
            </w:r>
          </w:p>
          <w:p w14:paraId="2C23CE35" w14:textId="1AB1BC2A" w:rsidR="008A155E" w:rsidRPr="007C3248" w:rsidRDefault="001458E3" w:rsidP="008A155E">
            <w:pPr>
              <w:spacing w:after="0" w:line="240" w:lineRule="auto"/>
              <w:jc w:val="left"/>
              <w:rPr>
                <w:rFonts w:ascii="DeutscheBank" w:hAnsi="DeutscheBank"/>
              </w:rPr>
            </w:pPr>
            <w:r w:rsidRPr="007C3248">
              <w:rPr>
                <w:rFonts w:ascii="DeutscheBank" w:hAnsi="DeutscheBank"/>
              </w:rPr>
              <w:t xml:space="preserve">However, you </w:t>
            </w:r>
            <w:r w:rsidR="0000328B" w:rsidRPr="007C3248">
              <w:rPr>
                <w:rFonts w:ascii="DeutscheBank" w:hAnsi="DeutscheBank"/>
              </w:rPr>
              <w:t xml:space="preserve">will </w:t>
            </w:r>
            <w:r w:rsidR="00C94900" w:rsidRPr="007C3248">
              <w:rPr>
                <w:rFonts w:ascii="DeutscheBank" w:hAnsi="DeutscheBank"/>
              </w:rPr>
              <w:t>be credited with an</w:t>
            </w:r>
            <w:r w:rsidR="00B11CC7" w:rsidRPr="007C3248">
              <w:rPr>
                <w:rFonts w:ascii="DeutscheBank" w:hAnsi="DeutscheBank"/>
              </w:rPr>
              <w:t xml:space="preserve"> entitlement to </w:t>
            </w:r>
            <w:r w:rsidR="00C94900" w:rsidRPr="007C3248">
              <w:rPr>
                <w:rFonts w:ascii="DeutscheBank" w:hAnsi="DeutscheBank"/>
              </w:rPr>
              <w:t>such</w:t>
            </w:r>
            <w:r w:rsidR="00B11CC7" w:rsidRPr="007C3248">
              <w:rPr>
                <w:rFonts w:ascii="DeutscheBank" w:hAnsi="DeutscheBank"/>
              </w:rPr>
              <w:t xml:space="preserve"> variation margin which you may </w:t>
            </w:r>
            <w:r w:rsidR="00517536" w:rsidRPr="007C3248">
              <w:rPr>
                <w:rFonts w:ascii="DeutscheBank" w:hAnsi="DeutscheBank"/>
              </w:rPr>
              <w:t xml:space="preserve">be able to </w:t>
            </w:r>
            <w:r w:rsidR="00B11CC7" w:rsidRPr="007C3248">
              <w:rPr>
                <w:rFonts w:ascii="DeutscheBank" w:hAnsi="DeutscheBank"/>
              </w:rPr>
              <w:t xml:space="preserve">use against your variation margin obligations in the </w:t>
            </w:r>
            <w:r w:rsidR="00B11CC7" w:rsidRPr="007C3248">
              <w:rPr>
                <w:rFonts w:ascii="DeutscheBank" w:hAnsi="DeutscheBank"/>
              </w:rPr>
              <w:lastRenderedPageBreak/>
              <w:t xml:space="preserve">future (rather than </w:t>
            </w:r>
            <w:r w:rsidR="00071417" w:rsidRPr="007C3248">
              <w:rPr>
                <w:rFonts w:ascii="DeutscheBank" w:hAnsi="DeutscheBank"/>
              </w:rPr>
              <w:t xml:space="preserve">transferring </w:t>
            </w:r>
            <w:r w:rsidR="00C94900" w:rsidRPr="007C3248">
              <w:rPr>
                <w:rFonts w:ascii="DeutscheBank" w:hAnsi="DeutscheBank"/>
              </w:rPr>
              <w:t xml:space="preserve">additional </w:t>
            </w:r>
            <w:r w:rsidR="00071417" w:rsidRPr="007C3248">
              <w:rPr>
                <w:rFonts w:ascii="DeutscheBank" w:hAnsi="DeutscheBank"/>
              </w:rPr>
              <w:t>variation margin).</w:t>
            </w:r>
            <w:r w:rsidR="008A155E" w:rsidRPr="007C3248">
              <w:rPr>
                <w:rFonts w:ascii="DeutscheBank" w:hAnsi="DeutscheBank"/>
              </w:rPr>
              <w:t xml:space="preserve"> </w:t>
            </w:r>
          </w:p>
          <w:p w14:paraId="00ED0184" w14:textId="2254D95F" w:rsidR="00E723FB" w:rsidRPr="007C3248" w:rsidRDefault="00E723FB" w:rsidP="008A155E">
            <w:pPr>
              <w:spacing w:after="0" w:line="240" w:lineRule="auto"/>
              <w:jc w:val="left"/>
              <w:rPr>
                <w:rFonts w:ascii="DeutscheBank" w:hAnsi="DeutscheBank"/>
              </w:rPr>
            </w:pPr>
          </w:p>
        </w:tc>
      </w:tr>
      <w:tr w:rsidR="008A155E" w:rsidRPr="007C3248" w14:paraId="001F3B58" w14:textId="77777777" w:rsidTr="00A33CF0">
        <w:tc>
          <w:tcPr>
            <w:tcW w:w="1443" w:type="dxa"/>
          </w:tcPr>
          <w:p w14:paraId="2DE9FE18" w14:textId="078B72FA" w:rsidR="008A155E" w:rsidRPr="007C3248" w:rsidRDefault="008A155E" w:rsidP="00E723FB">
            <w:pPr>
              <w:spacing w:after="0" w:line="240" w:lineRule="auto"/>
              <w:jc w:val="center"/>
              <w:rPr>
                <w:rFonts w:ascii="DeutscheBank" w:hAnsi="DeutscheBank"/>
              </w:rPr>
            </w:pPr>
            <w:r w:rsidRPr="007C3248">
              <w:rPr>
                <w:rFonts w:ascii="DeutscheBank" w:hAnsi="DeutscheBank"/>
              </w:rPr>
              <w:lastRenderedPageBreak/>
              <w:t>Emergency Powers</w:t>
            </w:r>
          </w:p>
        </w:tc>
        <w:tc>
          <w:tcPr>
            <w:tcW w:w="4624" w:type="dxa"/>
          </w:tcPr>
          <w:p w14:paraId="04C5BBDC" w14:textId="4860BA42" w:rsidR="008A155E" w:rsidRPr="007C3248" w:rsidRDefault="008A155E" w:rsidP="008A155E">
            <w:pPr>
              <w:spacing w:after="0" w:line="240" w:lineRule="auto"/>
              <w:jc w:val="left"/>
              <w:rPr>
                <w:rFonts w:ascii="DeutscheBank" w:hAnsi="DeutscheBank"/>
              </w:rPr>
            </w:pPr>
            <w:r w:rsidRPr="007C3248">
              <w:rPr>
                <w:rFonts w:ascii="DeutscheBank" w:hAnsi="DeutscheBank"/>
              </w:rPr>
              <w:t xml:space="preserve">In emergency conditions (such as market disruption, war, force majeure or following governmental or regulatory action), a CCP may have additional powers to amend its rulebook or require clearing members to take certain actions with regard to the performance of each clearing member’s contracts. Such emergency powers may include Tear ups, Invoicing Back, Contingent Variation Margin and Forced Allocation (each as described above). </w:t>
            </w:r>
            <w:r w:rsidR="00C5309F" w:rsidRPr="007C3248">
              <w:rPr>
                <w:rFonts w:ascii="DeutscheBank" w:hAnsi="DeutscheBank"/>
              </w:rPr>
              <w:t>The CCP may also elect to close one or more of its services and terminate all outstanding contracts cleared at that service.</w:t>
            </w:r>
            <w:r w:rsidRPr="007C3248">
              <w:rPr>
                <w:rFonts w:ascii="DeutscheBank" w:hAnsi="DeutscheBank"/>
              </w:rPr>
              <w:t xml:space="preserve"> </w:t>
            </w:r>
          </w:p>
        </w:tc>
        <w:tc>
          <w:tcPr>
            <w:tcW w:w="2949" w:type="dxa"/>
          </w:tcPr>
          <w:p w14:paraId="7DD0B738" w14:textId="666975FB" w:rsidR="008A155E" w:rsidRPr="007C3248" w:rsidRDefault="003658C8" w:rsidP="008A155E">
            <w:pPr>
              <w:spacing w:after="0" w:line="240" w:lineRule="auto"/>
              <w:jc w:val="left"/>
              <w:rPr>
                <w:rFonts w:ascii="DeutscheBank" w:hAnsi="DeutscheBank"/>
              </w:rPr>
            </w:pPr>
            <w:r w:rsidRPr="007C3248">
              <w:rPr>
                <w:rFonts w:ascii="DeutscheBank" w:hAnsi="DeutscheBank"/>
              </w:rPr>
              <w:t xml:space="preserve">See further above as to the </w:t>
            </w:r>
            <w:r w:rsidR="00C5309F" w:rsidRPr="007C3248">
              <w:rPr>
                <w:rFonts w:ascii="DeutscheBank" w:hAnsi="DeutscheBank"/>
              </w:rPr>
              <w:t>impact of Tear ups, Invoicing Back, Contingent Variation Margin and Forced Allocation and below as to the impact of a service closure.</w:t>
            </w:r>
          </w:p>
          <w:p w14:paraId="76E01132" w14:textId="495053F2" w:rsidR="00F519F8" w:rsidRPr="007C3248" w:rsidRDefault="00F519F8" w:rsidP="008A155E">
            <w:pPr>
              <w:spacing w:after="0" w:line="240" w:lineRule="auto"/>
              <w:jc w:val="left"/>
              <w:rPr>
                <w:rFonts w:ascii="DeutscheBank" w:hAnsi="DeutscheBank"/>
              </w:rPr>
            </w:pPr>
            <w:r w:rsidRPr="007C3248">
              <w:rPr>
                <w:rFonts w:ascii="DeutscheBank" w:hAnsi="DeutscheBank"/>
              </w:rPr>
              <w:t>In ad</w:t>
            </w:r>
            <w:r w:rsidR="00234D8A" w:rsidRPr="007C3248">
              <w:rPr>
                <w:rFonts w:ascii="DeutscheBank" w:hAnsi="DeutscheBank"/>
              </w:rPr>
              <w:t xml:space="preserve">dition, if the CCP’s exercise of emergency powers impacts the terms of any </w:t>
            </w:r>
            <w:r w:rsidR="00517536" w:rsidRPr="007C3248">
              <w:rPr>
                <w:rFonts w:ascii="DeutscheBank" w:hAnsi="DeutscheBank"/>
              </w:rPr>
              <w:t xml:space="preserve">of your </w:t>
            </w:r>
            <w:r w:rsidR="00234D8A" w:rsidRPr="007C3248">
              <w:rPr>
                <w:rFonts w:ascii="DeutscheBank" w:hAnsi="DeutscheBank"/>
              </w:rPr>
              <w:t>contracts or the amount of margin we are required to transfer to the CCP</w:t>
            </w:r>
            <w:r w:rsidR="00517536" w:rsidRPr="007C3248">
              <w:rPr>
                <w:rFonts w:ascii="DeutscheBank" w:hAnsi="DeutscheBank"/>
              </w:rPr>
              <w:t xml:space="preserve"> or a clearing member</w:t>
            </w:r>
            <w:r w:rsidR="00234D8A" w:rsidRPr="007C3248">
              <w:rPr>
                <w:rFonts w:ascii="DeutscheBank" w:hAnsi="DeutscheBank"/>
              </w:rPr>
              <w:t xml:space="preserve"> on your behalf or the CCP </w:t>
            </w:r>
            <w:r w:rsidR="00517536" w:rsidRPr="007C3248">
              <w:rPr>
                <w:rFonts w:ascii="DeutscheBank" w:hAnsi="DeutscheBank"/>
              </w:rPr>
              <w:t xml:space="preserve">or a clearing member </w:t>
            </w:r>
            <w:r w:rsidR="00234D8A" w:rsidRPr="007C3248">
              <w:rPr>
                <w:rFonts w:ascii="DeutscheBank" w:hAnsi="DeutscheBank"/>
              </w:rPr>
              <w:t>is required to transfer to us</w:t>
            </w:r>
            <w:r w:rsidR="00FB07F5" w:rsidRPr="007C3248">
              <w:rPr>
                <w:rFonts w:ascii="DeutscheBank" w:hAnsi="DeutscheBank"/>
              </w:rPr>
              <w:t xml:space="preserve"> in respect of your contracts</w:t>
            </w:r>
            <w:r w:rsidR="00603E50" w:rsidRPr="007C3248">
              <w:rPr>
                <w:rFonts w:ascii="DeutscheBank" w:hAnsi="DeutscheBank"/>
              </w:rPr>
              <w:t xml:space="preserve">, we will pass the impact of such changes onto you. This may result in an amendment to the terms of your contracts, the close-out of contracts to which you are party, an increase in the amount of margin you are required to transfer or a decrease in the amount of margin you may receive. </w:t>
            </w:r>
          </w:p>
          <w:p w14:paraId="184D8DC8" w14:textId="77777777" w:rsidR="00603E50" w:rsidRPr="007C3248" w:rsidRDefault="00603E50" w:rsidP="008A155E">
            <w:pPr>
              <w:spacing w:after="0" w:line="240" w:lineRule="auto"/>
              <w:jc w:val="left"/>
              <w:rPr>
                <w:rFonts w:ascii="DeutscheBank" w:hAnsi="DeutscheBank"/>
              </w:rPr>
            </w:pPr>
          </w:p>
          <w:p w14:paraId="28A7381B" w14:textId="6976812D" w:rsidR="00603E50" w:rsidRPr="007C3248" w:rsidRDefault="00603E50" w:rsidP="008A155E">
            <w:pPr>
              <w:spacing w:after="0" w:line="240" w:lineRule="auto"/>
              <w:jc w:val="left"/>
              <w:rPr>
                <w:rFonts w:ascii="DeutscheBank" w:hAnsi="DeutscheBank"/>
              </w:rPr>
            </w:pPr>
            <w:r w:rsidRPr="007C3248">
              <w:rPr>
                <w:rFonts w:ascii="DeutscheBank" w:hAnsi="DeutscheBank"/>
              </w:rPr>
              <w:t xml:space="preserve">If a contract </w:t>
            </w:r>
            <w:r w:rsidR="00517536" w:rsidRPr="007C3248">
              <w:rPr>
                <w:rFonts w:ascii="DeutscheBank" w:hAnsi="DeutscheBank"/>
              </w:rPr>
              <w:t>being cleared for you</w:t>
            </w:r>
            <w:r w:rsidRPr="007C3248">
              <w:rPr>
                <w:rFonts w:ascii="DeutscheBank" w:hAnsi="DeutscheBank"/>
              </w:rPr>
              <w:t xml:space="preserve"> is closed out, you may incur incidental costs in the </w:t>
            </w:r>
            <w:r w:rsidRPr="007C3248">
              <w:rPr>
                <w:rFonts w:ascii="DeutscheBank" w:hAnsi="DeutscheBank"/>
              </w:rPr>
              <w:lastRenderedPageBreak/>
              <w:t>process of the closing out of such contract and you may incur additional costs if you decide to enter into a replacement contract at another CCP. You may also suffer a loss if the close-out value is different to the value of the closed-out contract recorded in your books. If you decide not to enter into a replacement contract, you will be exposed to the risk of adverse market movements that were previously hedged by the contract.</w:t>
            </w:r>
          </w:p>
          <w:p w14:paraId="05333A92" w14:textId="195AAD1C" w:rsidR="00603E50" w:rsidRPr="007C3248" w:rsidRDefault="00603E50" w:rsidP="008A155E">
            <w:pPr>
              <w:spacing w:after="0" w:line="240" w:lineRule="auto"/>
              <w:jc w:val="left"/>
              <w:rPr>
                <w:rFonts w:ascii="DeutscheBank" w:hAnsi="DeutscheBank"/>
              </w:rPr>
            </w:pPr>
          </w:p>
          <w:p w14:paraId="4BF0E112" w14:textId="2A329969" w:rsidR="00C5309F" w:rsidRPr="007C3248" w:rsidRDefault="00603E50" w:rsidP="008A155E">
            <w:pPr>
              <w:spacing w:after="0" w:line="240" w:lineRule="auto"/>
              <w:jc w:val="left"/>
              <w:rPr>
                <w:rFonts w:ascii="DeutscheBank" w:hAnsi="DeutscheBank"/>
              </w:rPr>
            </w:pPr>
            <w:r w:rsidRPr="007C3248">
              <w:rPr>
                <w:rFonts w:ascii="DeutscheBank" w:hAnsi="DeutscheBank"/>
              </w:rPr>
              <w:t xml:space="preserve">If you receive less margin </w:t>
            </w:r>
            <w:r w:rsidR="000F73D0" w:rsidRPr="007C3248">
              <w:rPr>
                <w:rFonts w:ascii="DeutscheBank" w:hAnsi="DeutscheBank"/>
              </w:rPr>
              <w:t>in respect of a contract we clear on your behalf,</w:t>
            </w:r>
            <w:r w:rsidR="00517536" w:rsidRPr="007C3248">
              <w:rPr>
                <w:rFonts w:ascii="DeutscheBank" w:hAnsi="DeutscheBank"/>
              </w:rPr>
              <w:t xml:space="preserve"> or, where we are facilitating an indirect clearing service, which is cleared by a clearing member on your</w:t>
            </w:r>
            <w:r w:rsidR="000F73D0" w:rsidRPr="007C3248">
              <w:rPr>
                <w:rFonts w:ascii="DeutscheBank" w:hAnsi="DeutscheBank"/>
              </w:rPr>
              <w:t xml:space="preserve"> t</w:t>
            </w:r>
            <w:r w:rsidRPr="007C3248">
              <w:rPr>
                <w:rFonts w:ascii="DeutscheBank" w:hAnsi="DeutscheBank"/>
              </w:rPr>
              <w:t xml:space="preserve">his may mean that you do not obtain the full value that would otherwise accrue to </w:t>
            </w:r>
            <w:r w:rsidR="000F73D0" w:rsidRPr="007C3248">
              <w:rPr>
                <w:rFonts w:ascii="DeutscheBank" w:hAnsi="DeutscheBank"/>
              </w:rPr>
              <w:t>such contract as a result of</w:t>
            </w:r>
            <w:r w:rsidRPr="007C3248">
              <w:rPr>
                <w:rFonts w:ascii="DeutscheBank" w:hAnsi="DeutscheBank"/>
              </w:rPr>
              <w:t xml:space="preserve"> market movements and, to the extent that you hold an opposite position in relation to any asset or liability that was hedged by the affected contract, you may face a loss on that position.</w:t>
            </w:r>
          </w:p>
          <w:p w14:paraId="30C491EF" w14:textId="74AA7FAC" w:rsidR="00E723FB" w:rsidRPr="007C3248" w:rsidRDefault="00E723FB" w:rsidP="008A155E">
            <w:pPr>
              <w:spacing w:after="0" w:line="240" w:lineRule="auto"/>
              <w:jc w:val="left"/>
              <w:rPr>
                <w:rFonts w:ascii="DeutscheBank" w:hAnsi="DeutscheBank"/>
              </w:rPr>
            </w:pPr>
          </w:p>
        </w:tc>
      </w:tr>
      <w:tr w:rsidR="008A155E" w:rsidRPr="007C3248" w14:paraId="4274238F" w14:textId="77777777" w:rsidTr="00A33CF0">
        <w:tc>
          <w:tcPr>
            <w:tcW w:w="1443" w:type="dxa"/>
          </w:tcPr>
          <w:p w14:paraId="0E4C5CC2" w14:textId="205DEA91" w:rsidR="008A155E" w:rsidRPr="007C3248" w:rsidRDefault="008A155E" w:rsidP="00E723FB">
            <w:pPr>
              <w:spacing w:after="0" w:line="240" w:lineRule="auto"/>
              <w:jc w:val="center"/>
              <w:rPr>
                <w:rFonts w:ascii="DeutscheBank" w:hAnsi="DeutscheBank"/>
              </w:rPr>
            </w:pPr>
            <w:r w:rsidRPr="007C3248">
              <w:rPr>
                <w:rFonts w:ascii="DeutscheBank" w:hAnsi="DeutscheBank"/>
              </w:rPr>
              <w:lastRenderedPageBreak/>
              <w:t>Service Closure</w:t>
            </w:r>
          </w:p>
        </w:tc>
        <w:tc>
          <w:tcPr>
            <w:tcW w:w="4624" w:type="dxa"/>
          </w:tcPr>
          <w:p w14:paraId="228F492F" w14:textId="29C0F4A8" w:rsidR="008A155E" w:rsidRPr="007C3248" w:rsidRDefault="008A155E" w:rsidP="008A155E">
            <w:pPr>
              <w:spacing w:after="0" w:line="240" w:lineRule="auto"/>
              <w:jc w:val="left"/>
              <w:rPr>
                <w:rFonts w:ascii="DeutscheBank" w:hAnsi="DeutscheBank"/>
              </w:rPr>
            </w:pPr>
            <w:r w:rsidRPr="007C3248">
              <w:rPr>
                <w:rFonts w:ascii="DeutscheBank" w:hAnsi="DeutscheBank"/>
              </w:rPr>
              <w:t>The CCP may elect to close one or more of its services and terminate all outstanding contracts cleared at that service.</w:t>
            </w:r>
          </w:p>
        </w:tc>
        <w:tc>
          <w:tcPr>
            <w:tcW w:w="2949" w:type="dxa"/>
          </w:tcPr>
          <w:p w14:paraId="4A6371B0" w14:textId="77777777" w:rsidR="00517536" w:rsidRPr="007C3248" w:rsidRDefault="008A155E" w:rsidP="008A155E">
            <w:pPr>
              <w:spacing w:after="0" w:line="240" w:lineRule="auto"/>
              <w:jc w:val="left"/>
              <w:rPr>
                <w:rFonts w:ascii="DeutscheBank" w:hAnsi="DeutscheBank"/>
              </w:rPr>
            </w:pPr>
            <w:r w:rsidRPr="007C3248">
              <w:rPr>
                <w:rFonts w:ascii="DeutscheBank" w:hAnsi="DeutscheBank"/>
              </w:rPr>
              <w:t>If the CCP closes a service at which we are clearing contracts for you</w:t>
            </w:r>
            <w:r w:rsidR="00517536" w:rsidRPr="007C3248">
              <w:rPr>
                <w:rFonts w:ascii="DeutscheBank" w:hAnsi="DeutscheBank"/>
              </w:rPr>
              <w:t xml:space="preserve"> and you have not arranged for your positions to be closed out yourself before the closure</w:t>
            </w:r>
            <w:r w:rsidRPr="007C3248">
              <w:rPr>
                <w:rFonts w:ascii="DeutscheBank" w:hAnsi="DeutscheBank"/>
              </w:rPr>
              <w:t xml:space="preserve">, the CCP will terminate the relevant contracts, perform a close-out calculation and pay any positive resulting sum to us or require us to pay any resulting amount to it. </w:t>
            </w:r>
          </w:p>
          <w:p w14:paraId="6BB499B9" w14:textId="77777777" w:rsidR="00517536" w:rsidRPr="007C3248" w:rsidRDefault="00517536" w:rsidP="008A155E">
            <w:pPr>
              <w:spacing w:after="0" w:line="240" w:lineRule="auto"/>
              <w:jc w:val="left"/>
              <w:rPr>
                <w:rFonts w:ascii="DeutscheBank" w:hAnsi="DeutscheBank"/>
              </w:rPr>
            </w:pPr>
          </w:p>
          <w:p w14:paraId="3E72E8B1" w14:textId="77777777" w:rsidR="00517536" w:rsidRPr="007C3248" w:rsidRDefault="00517536" w:rsidP="00517536">
            <w:pPr>
              <w:spacing w:after="0" w:line="240" w:lineRule="auto"/>
              <w:jc w:val="left"/>
              <w:rPr>
                <w:rFonts w:ascii="DeutscheBank" w:hAnsi="DeutscheBank"/>
              </w:rPr>
            </w:pPr>
            <w:r w:rsidRPr="007C3248">
              <w:rPr>
                <w:rFonts w:ascii="DeutscheBank" w:hAnsi="DeutscheBank"/>
              </w:rPr>
              <w:t>Where we are facilitating an indirect clearing service, the CCP will pay any positive resulting sum to or require payment of any resulting amount from the clearing member providing indirect clearing services and the clearing member will either make a corresponding payment to us or require us to make a corresponding payment to it.</w:t>
            </w:r>
          </w:p>
          <w:p w14:paraId="59559495" w14:textId="77777777" w:rsidR="00517536" w:rsidRPr="007C3248" w:rsidRDefault="00517536" w:rsidP="00517536">
            <w:pPr>
              <w:spacing w:after="0" w:line="240" w:lineRule="auto"/>
              <w:jc w:val="left"/>
              <w:rPr>
                <w:rFonts w:ascii="DeutscheBank" w:hAnsi="DeutscheBank"/>
              </w:rPr>
            </w:pPr>
          </w:p>
          <w:p w14:paraId="56315ABD" w14:textId="6868B567" w:rsidR="00517536" w:rsidRPr="007C3248" w:rsidRDefault="00517536" w:rsidP="008A155E">
            <w:pPr>
              <w:spacing w:after="0" w:line="240" w:lineRule="auto"/>
              <w:jc w:val="left"/>
              <w:rPr>
                <w:rFonts w:ascii="DeutscheBank" w:hAnsi="DeutscheBank"/>
              </w:rPr>
            </w:pPr>
            <w:r w:rsidRPr="007C3248">
              <w:rPr>
                <w:rFonts w:ascii="DeutscheBank" w:hAnsi="DeutscheBank"/>
              </w:rPr>
              <w:t>Whilst we will account to you for any payment we receive, if we are required to make a payment to the CCP or our clearing member, we will claim that amount from you.</w:t>
            </w:r>
          </w:p>
          <w:p w14:paraId="0DDD4966" w14:textId="77777777" w:rsidR="00517536" w:rsidRPr="007C3248" w:rsidRDefault="00517536" w:rsidP="008A155E">
            <w:pPr>
              <w:spacing w:after="0" w:line="240" w:lineRule="auto"/>
              <w:jc w:val="left"/>
              <w:rPr>
                <w:rFonts w:ascii="DeutscheBank" w:hAnsi="DeutscheBank"/>
              </w:rPr>
            </w:pPr>
          </w:p>
          <w:p w14:paraId="23593C89" w14:textId="640D4247" w:rsidR="008A155E" w:rsidRPr="007C3248" w:rsidRDefault="008A155E" w:rsidP="008A155E">
            <w:pPr>
              <w:spacing w:after="0" w:line="240" w:lineRule="auto"/>
              <w:jc w:val="left"/>
              <w:rPr>
                <w:rFonts w:ascii="DeutscheBank" w:hAnsi="DeutscheBank"/>
              </w:rPr>
            </w:pPr>
            <w:r w:rsidRPr="007C3248">
              <w:rPr>
                <w:rFonts w:ascii="DeutscheBank" w:hAnsi="DeutscheBank"/>
              </w:rPr>
              <w:t xml:space="preserve">In this context, you may incur incidental costs in </w:t>
            </w:r>
            <w:r w:rsidRPr="007C3248">
              <w:rPr>
                <w:rFonts w:ascii="DeutscheBank" w:hAnsi="DeutscheBank"/>
              </w:rPr>
              <w:lastRenderedPageBreak/>
              <w:t>the process of the closing out of your contracts and you may incur additional costs if you decide to enter into a replacement contract at another CCP.</w:t>
            </w:r>
          </w:p>
          <w:p w14:paraId="2AE7464C" w14:textId="05809BDE" w:rsidR="008A155E" w:rsidRPr="007C3248" w:rsidRDefault="008A155E" w:rsidP="008A155E">
            <w:pPr>
              <w:spacing w:after="0" w:line="240" w:lineRule="auto"/>
              <w:jc w:val="left"/>
              <w:rPr>
                <w:rFonts w:ascii="DeutscheBank" w:hAnsi="DeutscheBank"/>
              </w:rPr>
            </w:pPr>
          </w:p>
          <w:p w14:paraId="370607E9" w14:textId="0C43AF09" w:rsidR="008A155E" w:rsidRPr="007C3248" w:rsidRDefault="008A155E" w:rsidP="008A155E">
            <w:pPr>
              <w:spacing w:after="0" w:line="240" w:lineRule="auto"/>
              <w:jc w:val="left"/>
              <w:rPr>
                <w:rFonts w:ascii="DeutscheBank" w:hAnsi="DeutscheBank"/>
              </w:rPr>
            </w:pPr>
            <w:r w:rsidRPr="007C3248">
              <w:rPr>
                <w:rFonts w:ascii="DeutscheBank" w:hAnsi="DeutscheBank"/>
              </w:rPr>
              <w:t>You may also suffer a loss if the close-out value</w:t>
            </w:r>
            <w:r w:rsidR="00517536" w:rsidRPr="007C3248">
              <w:rPr>
                <w:rFonts w:ascii="DeutscheBank" w:hAnsi="DeutscheBank"/>
              </w:rPr>
              <w:t xml:space="preserve"> determined by the CCP</w:t>
            </w:r>
            <w:r w:rsidRPr="007C3248">
              <w:rPr>
                <w:rFonts w:ascii="DeutscheBank" w:hAnsi="DeutscheBank"/>
              </w:rPr>
              <w:t xml:space="preserve"> is different to the value of the closed-out contract recorded in your books.</w:t>
            </w:r>
          </w:p>
          <w:p w14:paraId="7D6A42AB" w14:textId="77777777" w:rsidR="008A155E" w:rsidRPr="007C3248" w:rsidRDefault="008A155E" w:rsidP="008A155E">
            <w:pPr>
              <w:spacing w:after="0" w:line="240" w:lineRule="auto"/>
              <w:jc w:val="left"/>
              <w:rPr>
                <w:rFonts w:ascii="DeutscheBank" w:hAnsi="DeutscheBank"/>
              </w:rPr>
            </w:pPr>
          </w:p>
          <w:p w14:paraId="31E8475A" w14:textId="18738499" w:rsidR="008A155E" w:rsidRPr="007C3248" w:rsidRDefault="008A155E" w:rsidP="008A155E">
            <w:pPr>
              <w:spacing w:after="0" w:line="240" w:lineRule="auto"/>
              <w:jc w:val="left"/>
              <w:rPr>
                <w:rFonts w:ascii="DeutscheBank" w:hAnsi="DeutscheBank"/>
              </w:rPr>
            </w:pPr>
            <w:r w:rsidRPr="007C3248">
              <w:rPr>
                <w:rFonts w:ascii="DeutscheBank" w:hAnsi="DeutscheBank"/>
              </w:rPr>
              <w:t>If you decide not to enter into a replacement contract, you will be exposed to the risk of adverse market movements that were previously hedged by the contract.</w:t>
            </w:r>
          </w:p>
          <w:p w14:paraId="22B2A40C" w14:textId="3A4C1842" w:rsidR="008A155E" w:rsidRPr="007C3248" w:rsidRDefault="008A155E" w:rsidP="008A155E">
            <w:pPr>
              <w:spacing w:after="0" w:line="240" w:lineRule="auto"/>
              <w:jc w:val="left"/>
              <w:rPr>
                <w:rFonts w:ascii="DeutscheBank" w:hAnsi="DeutscheBank"/>
              </w:rPr>
            </w:pPr>
          </w:p>
          <w:p w14:paraId="6DF74738" w14:textId="7F7180B9" w:rsidR="008A155E" w:rsidRPr="007C3248" w:rsidRDefault="008A155E" w:rsidP="008A155E">
            <w:pPr>
              <w:spacing w:after="0" w:line="240" w:lineRule="auto"/>
              <w:jc w:val="left"/>
              <w:rPr>
                <w:rFonts w:ascii="DeutscheBank" w:hAnsi="DeutscheBank"/>
              </w:rPr>
            </w:pPr>
            <w:r w:rsidRPr="007C3248">
              <w:rPr>
                <w:rFonts w:ascii="DeutscheBank" w:hAnsi="DeutscheBank"/>
              </w:rPr>
              <w:t>Due to the closure of the relevant service, it also may not be possible to enter into replacement contracts.</w:t>
            </w:r>
          </w:p>
        </w:tc>
      </w:tr>
    </w:tbl>
    <w:p w14:paraId="2B9872FE" w14:textId="77777777" w:rsidR="00F42986" w:rsidRPr="007C3248" w:rsidRDefault="00F42986" w:rsidP="00F42986">
      <w:pPr>
        <w:spacing w:after="0" w:line="240" w:lineRule="auto"/>
        <w:jc w:val="left"/>
        <w:rPr>
          <w:rFonts w:ascii="DeutscheBank" w:hAnsi="DeutscheBank"/>
        </w:rPr>
      </w:pPr>
    </w:p>
    <w:p w14:paraId="00660E93" w14:textId="21431E62" w:rsidR="00F42986" w:rsidRPr="007C3248" w:rsidRDefault="00355503" w:rsidP="00E723FB">
      <w:pPr>
        <w:spacing w:after="0" w:line="240" w:lineRule="auto"/>
        <w:jc w:val="left"/>
        <w:rPr>
          <w:rFonts w:ascii="DeutscheBank" w:hAnsi="DeutscheBank"/>
        </w:rPr>
      </w:pPr>
      <w:r w:rsidRPr="007C3248">
        <w:rPr>
          <w:rFonts w:ascii="DeutscheBank" w:hAnsi="DeutscheBank"/>
        </w:rPr>
        <w:t>Please see further the Appendices to this letter for details as to which of these measures are included in the rulebook of the relevant CCPs at which we clear on your behalf</w:t>
      </w:r>
      <w:r w:rsidR="0095219D" w:rsidRPr="007C3248">
        <w:rPr>
          <w:rFonts w:ascii="DeutscheBank" w:hAnsi="DeutscheBank"/>
        </w:rPr>
        <w:t>.</w:t>
      </w:r>
    </w:p>
    <w:p w14:paraId="7CEFEF36" w14:textId="77777777" w:rsidR="00E723FB" w:rsidRPr="007C3248" w:rsidRDefault="00E723FB" w:rsidP="00E723FB">
      <w:pPr>
        <w:spacing w:after="0" w:line="240" w:lineRule="auto"/>
        <w:jc w:val="left"/>
        <w:rPr>
          <w:rFonts w:ascii="DeutscheBank" w:hAnsi="DeutscheBank"/>
        </w:rPr>
      </w:pPr>
    </w:p>
    <w:p w14:paraId="0D82EE39" w14:textId="7426D8A1" w:rsidR="002E05C8" w:rsidRPr="007C3248" w:rsidRDefault="002E05C8" w:rsidP="004420F7">
      <w:pPr>
        <w:pStyle w:val="ParagraphL1"/>
        <w:numPr>
          <w:ilvl w:val="0"/>
          <w:numId w:val="12"/>
        </w:numPr>
        <w:rPr>
          <w:rFonts w:ascii="DeutscheBank" w:hAnsi="DeutscheBank"/>
          <w:b/>
          <w:bCs/>
        </w:rPr>
      </w:pPr>
      <w:r w:rsidRPr="007C3248">
        <w:rPr>
          <w:rFonts w:ascii="DeutscheBank" w:hAnsi="DeutscheBank"/>
          <w:b/>
          <w:bCs/>
        </w:rPr>
        <w:t>Default management procedures</w:t>
      </w:r>
    </w:p>
    <w:p w14:paraId="3DD3648E" w14:textId="6C482AE8" w:rsidR="009B5BBD" w:rsidRPr="007C3248" w:rsidRDefault="003E33F2" w:rsidP="009B5BBD">
      <w:pPr>
        <w:rPr>
          <w:rFonts w:ascii="DeutscheBank" w:hAnsi="DeutscheBank"/>
        </w:rPr>
      </w:pPr>
      <w:r w:rsidRPr="007C3248">
        <w:rPr>
          <w:rFonts w:ascii="DeutscheBank" w:hAnsi="DeutscheBank"/>
        </w:rPr>
        <w:t>In summary</w:t>
      </w:r>
      <w:r w:rsidRPr="007C3248">
        <w:rPr>
          <w:rStyle w:val="FootnoteReference"/>
          <w:rFonts w:ascii="DeutscheBank" w:hAnsi="DeutscheBank"/>
        </w:rPr>
        <w:footnoteReference w:id="1"/>
      </w:r>
      <w:r w:rsidRPr="007C3248">
        <w:rPr>
          <w:rFonts w:ascii="DeutscheBank" w:hAnsi="DeutscheBank"/>
        </w:rPr>
        <w:t>, i</w:t>
      </w:r>
      <w:r w:rsidR="009B5BBD" w:rsidRPr="007C3248">
        <w:rPr>
          <w:rFonts w:ascii="DeutscheBank" w:hAnsi="DeutscheBank"/>
        </w:rPr>
        <w:t xml:space="preserve">f </w:t>
      </w:r>
      <w:r w:rsidRPr="007C3248">
        <w:rPr>
          <w:rFonts w:ascii="DeutscheBank" w:hAnsi="DeutscheBank"/>
        </w:rPr>
        <w:t>a clearing member is</w:t>
      </w:r>
      <w:r w:rsidR="009B5BBD" w:rsidRPr="007C3248">
        <w:rPr>
          <w:rFonts w:ascii="DeutscheBank" w:hAnsi="DeutscheBank"/>
        </w:rPr>
        <w:t xml:space="preserve"> declared to be in default </w:t>
      </w:r>
      <w:r w:rsidRPr="007C3248">
        <w:rPr>
          <w:rFonts w:ascii="DeutscheBank" w:hAnsi="DeutscheBank"/>
        </w:rPr>
        <w:t>under a CCP's default management procedure</w:t>
      </w:r>
      <w:r w:rsidR="00411C5F">
        <w:rPr>
          <w:rFonts w:ascii="DeutscheBank" w:hAnsi="DeutscheBank"/>
        </w:rPr>
        <w:t>s</w:t>
      </w:r>
      <w:r w:rsidR="009B5BBD" w:rsidRPr="007C3248">
        <w:rPr>
          <w:rFonts w:ascii="DeutscheBank" w:hAnsi="DeutscheBank"/>
        </w:rPr>
        <w:t xml:space="preserve">, the CCP will usually try to transfer (port) transactions and </w:t>
      </w:r>
      <w:r w:rsidR="009B5BBD" w:rsidRPr="007C3248">
        <w:rPr>
          <w:rFonts w:ascii="DeutscheBank" w:hAnsi="DeutscheBank"/>
        </w:rPr>
        <w:lastRenderedPageBreak/>
        <w:t xml:space="preserve">assets related to </w:t>
      </w:r>
      <w:r w:rsidRPr="007C3248">
        <w:rPr>
          <w:rFonts w:ascii="DeutscheBank" w:hAnsi="DeutscheBank"/>
        </w:rPr>
        <w:t>the clients of that clearing member</w:t>
      </w:r>
      <w:r w:rsidR="009B5BBD" w:rsidRPr="007C3248">
        <w:rPr>
          <w:rFonts w:ascii="DeutscheBank" w:hAnsi="DeutscheBank"/>
        </w:rPr>
        <w:t xml:space="preserve"> to another clearing </w:t>
      </w:r>
      <w:r w:rsidR="004E175B" w:rsidRPr="007C3248">
        <w:rPr>
          <w:rFonts w:ascii="DeutscheBank" w:hAnsi="DeutscheBank"/>
        </w:rPr>
        <w:t>member</w:t>
      </w:r>
      <w:r w:rsidR="009B5BBD" w:rsidRPr="007C3248">
        <w:rPr>
          <w:rFonts w:ascii="DeutscheBank" w:hAnsi="DeutscheBank"/>
        </w:rPr>
        <w:t xml:space="preserve">. If porting cannot be achieved, the CCP will terminate the transactions related to </w:t>
      </w:r>
      <w:r w:rsidR="004E7089" w:rsidRPr="007C3248">
        <w:rPr>
          <w:rFonts w:ascii="DeutscheBank" w:hAnsi="DeutscheBank"/>
        </w:rPr>
        <w:t>the clients of that clearing member</w:t>
      </w:r>
      <w:r w:rsidR="009B5BBD" w:rsidRPr="007C3248">
        <w:rPr>
          <w:rFonts w:ascii="DeutscheBank" w:hAnsi="DeutscheBank"/>
        </w:rPr>
        <w:t xml:space="preserve"> and perform a close-out calculation in respect of them. If there is an amount owed by the CCP, the CCP may pay such amount directly to </w:t>
      </w:r>
      <w:r w:rsidR="004E7089" w:rsidRPr="007C3248">
        <w:rPr>
          <w:rFonts w:ascii="DeutscheBank" w:hAnsi="DeutscheBank"/>
        </w:rPr>
        <w:t xml:space="preserve">such clients </w:t>
      </w:r>
      <w:r w:rsidR="004E175B" w:rsidRPr="007C3248">
        <w:rPr>
          <w:rFonts w:ascii="DeutscheBank" w:hAnsi="DeutscheBank"/>
        </w:rPr>
        <w:t xml:space="preserve">subject to certain conditions, including </w:t>
      </w:r>
      <w:r w:rsidR="004E7089" w:rsidRPr="007C3248">
        <w:rPr>
          <w:rFonts w:ascii="DeutscheBank" w:hAnsi="DeutscheBank"/>
        </w:rPr>
        <w:t xml:space="preserve">if </w:t>
      </w:r>
      <w:r w:rsidR="00F82DAA" w:rsidRPr="007C3248">
        <w:rPr>
          <w:rFonts w:ascii="DeutscheBank" w:hAnsi="DeutscheBank"/>
        </w:rPr>
        <w:t>it</w:t>
      </w:r>
      <w:r w:rsidRPr="007C3248">
        <w:rPr>
          <w:rFonts w:ascii="DeutscheBank" w:hAnsi="DeutscheBank"/>
        </w:rPr>
        <w:t xml:space="preserve"> knows </w:t>
      </w:r>
      <w:r w:rsidR="004E7089" w:rsidRPr="007C3248">
        <w:rPr>
          <w:rFonts w:ascii="DeutscheBank" w:hAnsi="DeutscheBank"/>
        </w:rPr>
        <w:t xml:space="preserve">their </w:t>
      </w:r>
      <w:r w:rsidRPr="007C3248">
        <w:rPr>
          <w:rFonts w:ascii="DeutscheBank" w:hAnsi="DeutscheBank"/>
        </w:rPr>
        <w:t xml:space="preserve">identity. </w:t>
      </w:r>
      <w:r w:rsidR="009B5BBD" w:rsidRPr="007C3248">
        <w:rPr>
          <w:rFonts w:ascii="DeutscheBank" w:hAnsi="DeutscheBank"/>
        </w:rPr>
        <w:t xml:space="preserve">If the CCP does not </w:t>
      </w:r>
      <w:r w:rsidR="004E175B" w:rsidRPr="007C3248">
        <w:rPr>
          <w:rFonts w:ascii="DeutscheBank" w:hAnsi="DeutscheBank"/>
        </w:rPr>
        <w:t>pay directly to such clients</w:t>
      </w:r>
      <w:r w:rsidR="009B5BBD" w:rsidRPr="007C3248">
        <w:rPr>
          <w:rFonts w:ascii="DeutscheBank" w:hAnsi="DeutscheBank"/>
        </w:rPr>
        <w:t xml:space="preserve">, </w:t>
      </w:r>
      <w:r w:rsidR="00F82DAA" w:rsidRPr="007C3248">
        <w:rPr>
          <w:rFonts w:ascii="DeutscheBank" w:hAnsi="DeutscheBank"/>
        </w:rPr>
        <w:t>it</w:t>
      </w:r>
      <w:r w:rsidR="009B5BBD" w:rsidRPr="007C3248">
        <w:rPr>
          <w:rFonts w:ascii="DeutscheBank" w:hAnsi="DeutscheBank"/>
        </w:rPr>
        <w:t xml:space="preserve"> will pay </w:t>
      </w:r>
      <w:r w:rsidR="00F82DAA" w:rsidRPr="007C3248">
        <w:rPr>
          <w:rFonts w:ascii="DeutscheBank" w:hAnsi="DeutscheBank"/>
        </w:rPr>
        <w:t>such amount</w:t>
      </w:r>
      <w:r w:rsidR="009B5BBD" w:rsidRPr="007C3248">
        <w:rPr>
          <w:rFonts w:ascii="DeutscheBank" w:hAnsi="DeutscheBank"/>
        </w:rPr>
        <w:t xml:space="preserve"> to </w:t>
      </w:r>
      <w:r w:rsidR="004E7089" w:rsidRPr="007C3248">
        <w:rPr>
          <w:rFonts w:ascii="DeutscheBank" w:hAnsi="DeutscheBank"/>
        </w:rPr>
        <w:t>the defaulting clearing member</w:t>
      </w:r>
      <w:r w:rsidR="009B5BBD" w:rsidRPr="007C3248">
        <w:rPr>
          <w:rFonts w:ascii="DeutscheBank" w:hAnsi="DeutscheBank"/>
        </w:rPr>
        <w:t xml:space="preserve"> (or </w:t>
      </w:r>
      <w:r w:rsidR="004E7089" w:rsidRPr="007C3248">
        <w:rPr>
          <w:rFonts w:ascii="DeutscheBank" w:hAnsi="DeutscheBank"/>
        </w:rPr>
        <w:t xml:space="preserve">its </w:t>
      </w:r>
      <w:r w:rsidR="009B5BBD" w:rsidRPr="007C3248">
        <w:rPr>
          <w:rFonts w:ascii="DeutscheBank" w:hAnsi="DeutscheBank"/>
        </w:rPr>
        <w:t xml:space="preserve">insolvency practitioner) for the account of </w:t>
      </w:r>
      <w:r w:rsidR="00757707" w:rsidRPr="007C3248">
        <w:rPr>
          <w:rFonts w:ascii="DeutscheBank" w:hAnsi="DeutscheBank"/>
        </w:rPr>
        <w:t xml:space="preserve">the clearing member's </w:t>
      </w:r>
      <w:r w:rsidR="009B5BBD" w:rsidRPr="007C3248">
        <w:rPr>
          <w:rFonts w:ascii="DeutscheBank" w:hAnsi="DeutscheBank"/>
        </w:rPr>
        <w:t>clients.</w:t>
      </w:r>
    </w:p>
    <w:p w14:paraId="14BB1B90" w14:textId="778C72DD" w:rsidR="004E7089" w:rsidRPr="007C3248" w:rsidRDefault="004E7089" w:rsidP="009B5BBD">
      <w:pPr>
        <w:rPr>
          <w:rFonts w:ascii="DeutscheBank" w:hAnsi="DeutscheBank"/>
        </w:rPr>
      </w:pPr>
      <w:r w:rsidRPr="007C3248">
        <w:rPr>
          <w:rFonts w:ascii="DeutscheBank" w:hAnsi="DeutscheBank"/>
        </w:rPr>
        <w:t xml:space="preserve">If we </w:t>
      </w:r>
      <w:r w:rsidR="00517536" w:rsidRPr="007C3248">
        <w:rPr>
          <w:rFonts w:ascii="DeutscheBank" w:hAnsi="DeutscheBank"/>
        </w:rPr>
        <w:t xml:space="preserve">are or, where we are facilitating an indirect clearing service, the clearing member providing the indirect clearing service is </w:t>
      </w:r>
      <w:r w:rsidRPr="007C3248">
        <w:rPr>
          <w:rFonts w:ascii="DeutscheBank" w:hAnsi="DeutscheBank"/>
        </w:rPr>
        <w:t>declared to be in default, you may incur costs and losses, the most relevant of which we expect to be the following:</w:t>
      </w:r>
    </w:p>
    <w:p w14:paraId="6B550ADF" w14:textId="46D81454" w:rsidR="004E7089" w:rsidRPr="007C3248" w:rsidRDefault="00F82DAA" w:rsidP="004E7089">
      <w:pPr>
        <w:pStyle w:val="ParagraphL2"/>
        <w:numPr>
          <w:ilvl w:val="1"/>
          <w:numId w:val="16"/>
        </w:numPr>
        <w:rPr>
          <w:rFonts w:ascii="DeutscheBank" w:hAnsi="DeutscheBank"/>
        </w:rPr>
      </w:pPr>
      <w:r w:rsidRPr="007C3248">
        <w:rPr>
          <w:rFonts w:ascii="DeutscheBank" w:hAnsi="DeutscheBank"/>
        </w:rPr>
        <w:t>I</w:t>
      </w:r>
      <w:r w:rsidR="004E7089" w:rsidRPr="007C3248">
        <w:rPr>
          <w:rFonts w:ascii="DeutscheBank" w:hAnsi="DeutscheBank"/>
        </w:rPr>
        <w:t>f your transactions and assets are ported</w:t>
      </w:r>
      <w:r w:rsidR="00517536" w:rsidRPr="007C3248">
        <w:rPr>
          <w:rFonts w:ascii="DeutscheBank" w:hAnsi="DeutscheBank"/>
        </w:rPr>
        <w:t xml:space="preserve"> and (i) we are the defaulting clearing member</w:t>
      </w:r>
      <w:r w:rsidR="004E7089" w:rsidRPr="007C3248">
        <w:rPr>
          <w:rFonts w:ascii="DeutscheBank" w:hAnsi="DeutscheBank"/>
        </w:rPr>
        <w:t xml:space="preserve">, </w:t>
      </w:r>
      <w:r w:rsidRPr="007C3248">
        <w:rPr>
          <w:rFonts w:ascii="DeutscheBank" w:hAnsi="DeutscheBank"/>
        </w:rPr>
        <w:t xml:space="preserve">you may incur </w:t>
      </w:r>
      <w:r w:rsidR="004E7089" w:rsidRPr="007C3248">
        <w:rPr>
          <w:rFonts w:ascii="DeutscheBank" w:hAnsi="DeutscheBank"/>
        </w:rPr>
        <w:t>incidental costs for transferring your positions and assets to another clearing broker</w:t>
      </w:r>
      <w:r w:rsidR="00517536" w:rsidRPr="007C3248">
        <w:rPr>
          <w:rFonts w:ascii="DeutscheBank" w:hAnsi="DeutscheBank"/>
        </w:rPr>
        <w:t>; or (ii) we are facilitating an indirect clearing service, whilst we will continue to provide you with an indirect clearing service, we may pass on to you incidental costs associated for transferring your positions and assets to another clearing broker. In each case, you may be required to post additional collateral to enable porting to occur</w:t>
      </w:r>
      <w:r w:rsidRPr="007C3248">
        <w:rPr>
          <w:rFonts w:ascii="DeutscheBank" w:hAnsi="DeutscheBank"/>
        </w:rPr>
        <w:t>.</w:t>
      </w:r>
    </w:p>
    <w:p w14:paraId="452585B4" w14:textId="26BE3B32" w:rsidR="004E7089" w:rsidRPr="007C3248" w:rsidRDefault="00F82DAA" w:rsidP="004E7089">
      <w:pPr>
        <w:pStyle w:val="ParagraphL2"/>
        <w:numPr>
          <w:ilvl w:val="1"/>
          <w:numId w:val="16"/>
        </w:numPr>
        <w:rPr>
          <w:rFonts w:ascii="DeutscheBank" w:hAnsi="DeutscheBank"/>
        </w:rPr>
      </w:pPr>
      <w:r w:rsidRPr="007C3248">
        <w:rPr>
          <w:rFonts w:ascii="DeutscheBank" w:hAnsi="DeutscheBank"/>
        </w:rPr>
        <w:t>I</w:t>
      </w:r>
      <w:r w:rsidR="004E7089" w:rsidRPr="007C3248">
        <w:rPr>
          <w:rFonts w:ascii="DeutscheBank" w:hAnsi="DeutscheBank"/>
        </w:rPr>
        <w:t>f your transactions are terminated</w:t>
      </w:r>
      <w:r w:rsidR="00517536" w:rsidRPr="007C3248">
        <w:rPr>
          <w:rFonts w:ascii="DeutscheBank" w:hAnsi="DeutscheBank"/>
        </w:rPr>
        <w:t xml:space="preserve"> and (i) we are the defaulting clearing member</w:t>
      </w:r>
      <w:r w:rsidR="004E7089" w:rsidRPr="007C3248">
        <w:rPr>
          <w:rFonts w:ascii="DeutscheBank" w:hAnsi="DeutscheBank"/>
        </w:rPr>
        <w:t xml:space="preserve"> and the resulting sum is paid directly to you, </w:t>
      </w:r>
      <w:r w:rsidRPr="007C3248">
        <w:rPr>
          <w:rFonts w:ascii="DeutscheBank" w:hAnsi="DeutscheBank"/>
        </w:rPr>
        <w:t xml:space="preserve">you may incur </w:t>
      </w:r>
      <w:r w:rsidR="004E7089" w:rsidRPr="007C3248">
        <w:rPr>
          <w:rFonts w:ascii="DeutscheBank" w:hAnsi="DeutscheBank"/>
        </w:rPr>
        <w:t xml:space="preserve">incidental costs </w:t>
      </w:r>
      <w:r w:rsidR="00207151" w:rsidRPr="007C3248">
        <w:rPr>
          <w:rFonts w:ascii="DeutscheBank" w:hAnsi="DeutscheBank"/>
        </w:rPr>
        <w:t>in the proc</w:t>
      </w:r>
      <w:r w:rsidR="00455F5D" w:rsidRPr="007C3248">
        <w:rPr>
          <w:rFonts w:ascii="DeutscheBank" w:hAnsi="DeutscheBank"/>
        </w:rPr>
        <w:t>ess of the closing out of your contracts</w:t>
      </w:r>
      <w:r w:rsidR="00517536" w:rsidRPr="007C3248">
        <w:rPr>
          <w:rFonts w:ascii="DeutscheBank" w:hAnsi="DeutscheBank"/>
        </w:rPr>
        <w:t>; or (ii)</w:t>
      </w:r>
      <w:r w:rsidR="00934742">
        <w:rPr>
          <w:rFonts w:ascii="DeutscheBank" w:hAnsi="DeutscheBank"/>
        </w:rPr>
        <w:t xml:space="preserve"> </w:t>
      </w:r>
      <w:r w:rsidR="00517536" w:rsidRPr="007C3248">
        <w:rPr>
          <w:rFonts w:ascii="DeutscheBank" w:hAnsi="DeutscheBank"/>
        </w:rPr>
        <w:t>if we are facilitating an indirect clearing service through a clearing member that has defaulted and the resulting sum is paid directly to us, we will hold this sum for you and you may incur incidental costs in the process of the closing out of your contracts. In each case, y</w:t>
      </w:r>
      <w:r w:rsidR="00455F5D" w:rsidRPr="007C3248">
        <w:rPr>
          <w:rFonts w:ascii="DeutscheBank" w:hAnsi="DeutscheBank"/>
        </w:rPr>
        <w:t>ou may also suffer a loss if the close-out value is different to the value of the closed-out contract recorded in your books.</w:t>
      </w:r>
      <w:r w:rsidR="001D3F47" w:rsidRPr="007C3248">
        <w:rPr>
          <w:rFonts w:ascii="DeutscheBank" w:hAnsi="DeutscheBank"/>
        </w:rPr>
        <w:t xml:space="preserve"> Further, </w:t>
      </w:r>
      <w:r w:rsidR="00593A3C" w:rsidRPr="007C3248">
        <w:rPr>
          <w:rFonts w:ascii="DeutscheBank" w:hAnsi="DeutscheBank"/>
        </w:rPr>
        <w:t xml:space="preserve">you may incur additional costs if you decide to enter into replacement transactions </w:t>
      </w:r>
      <w:r w:rsidR="00431113" w:rsidRPr="007C3248">
        <w:rPr>
          <w:rFonts w:ascii="DeutscheBank" w:hAnsi="DeutscheBank"/>
        </w:rPr>
        <w:t xml:space="preserve">and </w:t>
      </w:r>
      <w:r w:rsidR="001D3F47" w:rsidRPr="007C3248">
        <w:rPr>
          <w:rFonts w:ascii="DeutscheBank" w:hAnsi="DeutscheBank"/>
        </w:rPr>
        <w:t xml:space="preserve">if you decide not to </w:t>
      </w:r>
      <w:r w:rsidR="009F0CF0" w:rsidRPr="007C3248">
        <w:rPr>
          <w:rFonts w:ascii="DeutscheBank" w:hAnsi="DeutscheBank"/>
        </w:rPr>
        <w:t xml:space="preserve">(or cannot) </w:t>
      </w:r>
      <w:r w:rsidR="001D3F47" w:rsidRPr="007C3248">
        <w:rPr>
          <w:rFonts w:ascii="DeutscheBank" w:hAnsi="DeutscheBank"/>
        </w:rPr>
        <w:t>enter into a replacement contract, you will be exposed to the risk of adverse market movements that were previously hedged by the contract.</w:t>
      </w:r>
    </w:p>
    <w:p w14:paraId="79D3EF6F" w14:textId="54980F22" w:rsidR="004E7089" w:rsidRPr="007C3248" w:rsidRDefault="00F82DAA" w:rsidP="00F82DAA">
      <w:pPr>
        <w:pStyle w:val="ParagraphL2"/>
        <w:numPr>
          <w:ilvl w:val="1"/>
          <w:numId w:val="16"/>
        </w:numPr>
        <w:rPr>
          <w:rFonts w:ascii="DeutscheBank" w:hAnsi="DeutscheBank"/>
        </w:rPr>
      </w:pPr>
      <w:r w:rsidRPr="007C3248">
        <w:rPr>
          <w:rFonts w:ascii="DeutscheBank" w:hAnsi="DeutscheBank"/>
        </w:rPr>
        <w:t>I</w:t>
      </w:r>
      <w:r w:rsidR="004E7089" w:rsidRPr="007C3248">
        <w:rPr>
          <w:rFonts w:ascii="DeutscheBank" w:hAnsi="DeutscheBank"/>
        </w:rPr>
        <w:t xml:space="preserve">f </w:t>
      </w:r>
      <w:r w:rsidR="00517536" w:rsidRPr="007C3248">
        <w:rPr>
          <w:rFonts w:ascii="DeutscheBank" w:hAnsi="DeutscheBank"/>
        </w:rPr>
        <w:t xml:space="preserve">we are the defaulting clearing member and </w:t>
      </w:r>
      <w:r w:rsidR="004E7089" w:rsidRPr="007C3248">
        <w:rPr>
          <w:rFonts w:ascii="DeutscheBank" w:hAnsi="DeutscheBank"/>
        </w:rPr>
        <w:t>your transactions are terminated and the resulting sum is paid to us</w:t>
      </w:r>
      <w:r w:rsidRPr="007C3248">
        <w:rPr>
          <w:rFonts w:ascii="DeutscheBank" w:hAnsi="DeutscheBank"/>
        </w:rPr>
        <w:t xml:space="preserve">, you may incur the costs </w:t>
      </w:r>
      <w:r w:rsidRPr="007C3248">
        <w:rPr>
          <w:rFonts w:ascii="DeutscheBank" w:hAnsi="DeutscheBank"/>
        </w:rPr>
        <w:lastRenderedPageBreak/>
        <w:t xml:space="preserve">and losses described in the paragraph above </w:t>
      </w:r>
      <w:r w:rsidR="004E7089" w:rsidRPr="007C3248">
        <w:rPr>
          <w:rFonts w:ascii="DeutscheBank" w:hAnsi="DeutscheBank"/>
        </w:rPr>
        <w:t>and</w:t>
      </w:r>
      <w:r w:rsidRPr="007C3248">
        <w:rPr>
          <w:rFonts w:ascii="DeutscheBank" w:hAnsi="DeutscheBank"/>
        </w:rPr>
        <w:t xml:space="preserve"> </w:t>
      </w:r>
      <w:r w:rsidR="00B71C32" w:rsidRPr="007C3248">
        <w:rPr>
          <w:rFonts w:ascii="DeutscheBank" w:hAnsi="DeutscheBank"/>
        </w:rPr>
        <w:t xml:space="preserve">additional </w:t>
      </w:r>
      <w:r w:rsidR="004E7089" w:rsidRPr="007C3248">
        <w:rPr>
          <w:rFonts w:ascii="DeutscheBank" w:hAnsi="DeutscheBank"/>
        </w:rPr>
        <w:t>losses</w:t>
      </w:r>
      <w:r w:rsidR="00EA4E2B" w:rsidRPr="007C3248">
        <w:rPr>
          <w:rFonts w:ascii="DeutscheBank" w:hAnsi="DeutscheBank"/>
        </w:rPr>
        <w:t xml:space="preserve"> resulting from our insolvency</w:t>
      </w:r>
      <w:r w:rsidRPr="007C3248">
        <w:rPr>
          <w:rFonts w:ascii="DeutscheBank" w:hAnsi="DeutscheBank"/>
        </w:rPr>
        <w:t xml:space="preserve"> (</w:t>
      </w:r>
      <w:r w:rsidR="00EA4E2B" w:rsidRPr="007C3248">
        <w:rPr>
          <w:rFonts w:ascii="DeutscheBank" w:hAnsi="DeutscheBank"/>
        </w:rPr>
        <w:t xml:space="preserve">which are explained in more detail in Part One C of </w:t>
      </w:r>
      <w:r w:rsidR="00977214" w:rsidRPr="007C3248">
        <w:rPr>
          <w:rFonts w:ascii="DeutscheBank" w:hAnsi="DeutscheBank"/>
        </w:rPr>
        <w:t xml:space="preserve">our </w:t>
      </w:r>
      <w:r w:rsidR="00EA4E2B" w:rsidRPr="007C3248">
        <w:rPr>
          <w:rFonts w:ascii="DeutscheBank" w:hAnsi="DeutscheBank"/>
        </w:rPr>
        <w:t>Clearing Member Disclosure Document</w:t>
      </w:r>
      <w:r w:rsidRPr="007C3248">
        <w:rPr>
          <w:rFonts w:ascii="DeutscheBank" w:hAnsi="DeutscheBank"/>
        </w:rPr>
        <w:t>)</w:t>
      </w:r>
      <w:r w:rsidR="00EA4E2B" w:rsidRPr="007C3248">
        <w:rPr>
          <w:rFonts w:ascii="DeutscheBank" w:hAnsi="DeutscheBank"/>
        </w:rPr>
        <w:t>.</w:t>
      </w:r>
      <w:r w:rsidR="00934742">
        <w:rPr>
          <w:rFonts w:ascii="DeutscheBank" w:hAnsi="DeutscheBank"/>
        </w:rPr>
        <w:t xml:space="preserve"> </w:t>
      </w:r>
      <w:r w:rsidR="00517536" w:rsidRPr="007C3248">
        <w:rPr>
          <w:rFonts w:ascii="DeutscheBank" w:hAnsi="DeutscheBank"/>
        </w:rPr>
        <w:t>If your transactions are terminated, we are facilitating an indirect clearing service through a clearing member that has defaulted and the resulting sum is paid directly to the defaulted clearing member, you may incur the costs and losses described in the paragraph above and additional losses resulting from the insolvency of the defaulted clearing member (which are explained in more detail in Part One C</w:t>
      </w:r>
      <w:r w:rsidR="00B94746" w:rsidRPr="007C3248">
        <w:rPr>
          <w:rFonts w:ascii="DeutscheBank" w:hAnsi="DeutscheBank"/>
        </w:rPr>
        <w:t xml:space="preserve"> of our Indirect Clearing Disclosure (available </w:t>
      </w:r>
      <w:hyperlink r:id="rId12" w:history="1">
        <w:r w:rsidR="00B94746" w:rsidRPr="007C3248">
          <w:rPr>
            <w:rStyle w:val="Hyperlink"/>
            <w:rFonts w:ascii="DeutscheBank" w:hAnsi="DeutscheBank"/>
          </w:rPr>
          <w:t>here</w:t>
        </w:r>
      </w:hyperlink>
      <w:r w:rsidR="00B94746" w:rsidRPr="007C3248">
        <w:rPr>
          <w:rStyle w:val="Hyperlink"/>
          <w:rFonts w:ascii="DeutscheBank" w:hAnsi="DeutscheBank"/>
        </w:rPr>
        <w:t>).</w:t>
      </w:r>
    </w:p>
    <w:p w14:paraId="20696C24" w14:textId="1D116525" w:rsidR="005C020F" w:rsidRPr="007C3248" w:rsidRDefault="00B94746" w:rsidP="003561DB">
      <w:pPr>
        <w:pStyle w:val="BodyText3"/>
        <w:ind w:left="0"/>
        <w:rPr>
          <w:rFonts w:ascii="DeutscheBank" w:hAnsi="DeutscheBank"/>
        </w:rPr>
      </w:pPr>
      <w:r w:rsidRPr="007C3248">
        <w:rPr>
          <w:rFonts w:ascii="DeutscheBank" w:hAnsi="DeutscheBank"/>
        </w:rPr>
        <w:t xml:space="preserve"> </w:t>
      </w:r>
      <w:r w:rsidR="00BE1582" w:rsidRPr="007C3248">
        <w:rPr>
          <w:rFonts w:ascii="DeutscheBank" w:hAnsi="DeutscheBank"/>
        </w:rPr>
        <w:t xml:space="preserve">If another clearing member is declared to be in default, the CCP </w:t>
      </w:r>
      <w:r w:rsidR="00B37339" w:rsidRPr="007C3248">
        <w:rPr>
          <w:rFonts w:ascii="DeutscheBank" w:hAnsi="DeutscheBank"/>
        </w:rPr>
        <w:t xml:space="preserve">will </w:t>
      </w:r>
      <w:r w:rsidR="00693592" w:rsidRPr="007C3248">
        <w:rPr>
          <w:rFonts w:ascii="DeutscheBank" w:hAnsi="DeutscheBank"/>
        </w:rPr>
        <w:t xml:space="preserve">terminate any outstanding transactions of that </w:t>
      </w:r>
      <w:r w:rsidR="00D60669" w:rsidRPr="007C3248">
        <w:rPr>
          <w:rFonts w:ascii="DeutscheBank" w:hAnsi="DeutscheBank"/>
        </w:rPr>
        <w:t xml:space="preserve">clearing member. Any losses suffered by the CCP in respect of those transactions will be allocated </w:t>
      </w:r>
      <w:r w:rsidR="00D535FF" w:rsidRPr="007C3248">
        <w:rPr>
          <w:rFonts w:ascii="DeutscheBank" w:hAnsi="DeutscheBank"/>
        </w:rPr>
        <w:t xml:space="preserve">amongst the CCP and its members in accordance with its loss and position allocation tools. The CCP may </w:t>
      </w:r>
      <w:r w:rsidR="00C11147" w:rsidRPr="007C3248">
        <w:rPr>
          <w:rFonts w:ascii="DeutscheBank" w:hAnsi="DeutscheBank"/>
        </w:rPr>
        <w:t xml:space="preserve">also seek to </w:t>
      </w:r>
      <w:r w:rsidR="007F2BFC" w:rsidRPr="007C3248">
        <w:rPr>
          <w:rFonts w:ascii="DeutscheBank" w:hAnsi="DeutscheBank"/>
        </w:rPr>
        <w:t xml:space="preserve">reduce </w:t>
      </w:r>
      <w:r w:rsidR="00C11147" w:rsidRPr="007C3248">
        <w:rPr>
          <w:rFonts w:ascii="DeutscheBank" w:hAnsi="DeutscheBank"/>
        </w:rPr>
        <w:t xml:space="preserve">those losses through the application of certain other </w:t>
      </w:r>
      <w:r w:rsidR="00EF3BCF" w:rsidRPr="007C3248">
        <w:rPr>
          <w:rFonts w:ascii="DeutscheBank" w:hAnsi="DeutscheBank"/>
        </w:rPr>
        <w:t>measures provided for in its ruleboo</w:t>
      </w:r>
      <w:r w:rsidR="001815BD" w:rsidRPr="007C3248">
        <w:rPr>
          <w:rFonts w:ascii="DeutscheBank" w:hAnsi="DeutscheBank"/>
        </w:rPr>
        <w:t xml:space="preserve">k. </w:t>
      </w:r>
    </w:p>
    <w:p w14:paraId="4DF56DF8" w14:textId="7D8DF158" w:rsidR="00042FFD" w:rsidRPr="007C3248" w:rsidRDefault="007F2BFC" w:rsidP="004E2090">
      <w:pPr>
        <w:pStyle w:val="BodyText3"/>
        <w:ind w:left="0"/>
        <w:rPr>
          <w:rFonts w:ascii="DeutscheBank" w:hAnsi="DeutscheBank"/>
        </w:rPr>
      </w:pPr>
      <w:r w:rsidRPr="007C3248">
        <w:rPr>
          <w:rFonts w:ascii="DeutscheBank" w:hAnsi="DeutscheBank"/>
        </w:rPr>
        <w:t>Such loss allocation and reduction tools may</w:t>
      </w:r>
      <w:r w:rsidR="00934742">
        <w:rPr>
          <w:rFonts w:ascii="DeutscheBank" w:hAnsi="DeutscheBank"/>
        </w:rPr>
        <w:t xml:space="preserve"> </w:t>
      </w:r>
      <w:r w:rsidRPr="007C3248">
        <w:rPr>
          <w:rFonts w:ascii="DeutscheBank" w:hAnsi="DeutscheBank"/>
        </w:rPr>
        <w:t xml:space="preserve">include the following, each of which will impact you </w:t>
      </w:r>
      <w:r w:rsidR="003561DB" w:rsidRPr="007C3248">
        <w:rPr>
          <w:rFonts w:ascii="DeutscheBank" w:hAnsi="DeutscheBank"/>
        </w:rPr>
        <w:t xml:space="preserve">in the manner </w:t>
      </w:r>
      <w:r w:rsidR="00042FFD" w:rsidRPr="007C3248">
        <w:rPr>
          <w:rFonts w:ascii="DeutscheBank" w:hAnsi="DeutscheBank"/>
        </w:rPr>
        <w:t>described under “CCP recovery plan measures” above:</w:t>
      </w:r>
    </w:p>
    <w:p w14:paraId="3D86B328" w14:textId="75D14852" w:rsidR="003561DB" w:rsidRPr="007C3248" w:rsidRDefault="00EC135E" w:rsidP="00B95B24">
      <w:pPr>
        <w:pStyle w:val="ParagraphL2"/>
        <w:numPr>
          <w:ilvl w:val="1"/>
          <w:numId w:val="28"/>
        </w:numPr>
        <w:rPr>
          <w:rFonts w:ascii="DeutscheBank" w:hAnsi="DeutscheBank"/>
        </w:rPr>
      </w:pPr>
      <w:r w:rsidRPr="007C3248">
        <w:rPr>
          <w:rFonts w:ascii="DeutscheBank" w:hAnsi="DeutscheBank"/>
        </w:rPr>
        <w:t>t</w:t>
      </w:r>
      <w:r w:rsidR="003561DB" w:rsidRPr="007C3248">
        <w:rPr>
          <w:rFonts w:ascii="DeutscheBank" w:hAnsi="DeutscheBank"/>
        </w:rPr>
        <w:t>ear up</w:t>
      </w:r>
      <w:r w:rsidRPr="007C3248">
        <w:rPr>
          <w:rFonts w:ascii="DeutscheBank" w:hAnsi="DeutscheBank"/>
        </w:rPr>
        <w:t>;</w:t>
      </w:r>
    </w:p>
    <w:p w14:paraId="7CBCA7E1" w14:textId="22DCADFD" w:rsidR="00071417" w:rsidRPr="007C3248" w:rsidRDefault="00EC135E" w:rsidP="004E2090">
      <w:pPr>
        <w:pStyle w:val="ParagraphL2"/>
        <w:numPr>
          <w:ilvl w:val="1"/>
          <w:numId w:val="28"/>
        </w:numPr>
        <w:rPr>
          <w:rFonts w:ascii="DeutscheBank" w:hAnsi="DeutscheBank"/>
        </w:rPr>
      </w:pPr>
      <w:r w:rsidRPr="007C3248">
        <w:rPr>
          <w:rFonts w:ascii="DeutscheBank" w:hAnsi="DeutscheBank"/>
        </w:rPr>
        <w:t>i</w:t>
      </w:r>
      <w:r w:rsidR="003561DB" w:rsidRPr="007C3248">
        <w:rPr>
          <w:rFonts w:ascii="DeutscheBank" w:hAnsi="DeutscheBank"/>
        </w:rPr>
        <w:t xml:space="preserve">nvoicing </w:t>
      </w:r>
      <w:r w:rsidRPr="007C3248">
        <w:rPr>
          <w:rFonts w:ascii="DeutscheBank" w:hAnsi="DeutscheBank"/>
        </w:rPr>
        <w:t>b</w:t>
      </w:r>
      <w:r w:rsidR="003561DB" w:rsidRPr="007C3248">
        <w:rPr>
          <w:rFonts w:ascii="DeutscheBank" w:hAnsi="DeutscheBank"/>
        </w:rPr>
        <w:t>ack</w:t>
      </w:r>
      <w:r w:rsidRPr="007C3248">
        <w:rPr>
          <w:rFonts w:ascii="DeutscheBank" w:hAnsi="DeutscheBank"/>
        </w:rPr>
        <w:t>;</w:t>
      </w:r>
    </w:p>
    <w:p w14:paraId="0934FA6B" w14:textId="485ECEE9" w:rsidR="003561DB" w:rsidRPr="007C3248" w:rsidRDefault="00EC135E" w:rsidP="00B95B24">
      <w:pPr>
        <w:pStyle w:val="ParagraphL2"/>
        <w:numPr>
          <w:ilvl w:val="1"/>
          <w:numId w:val="28"/>
        </w:numPr>
        <w:rPr>
          <w:rFonts w:ascii="DeutscheBank" w:hAnsi="DeutscheBank"/>
        </w:rPr>
      </w:pPr>
      <w:r w:rsidRPr="007C3248">
        <w:rPr>
          <w:rFonts w:ascii="DeutscheBank" w:hAnsi="DeutscheBank"/>
        </w:rPr>
        <w:t xml:space="preserve">variation margin gains haircutting </w:t>
      </w:r>
      <w:r w:rsidR="003561DB" w:rsidRPr="007C3248">
        <w:rPr>
          <w:rFonts w:ascii="DeutscheBank" w:hAnsi="DeutscheBank"/>
        </w:rPr>
        <w:t>(VMGH) measures</w:t>
      </w:r>
      <w:r w:rsidRPr="007C3248">
        <w:rPr>
          <w:rFonts w:ascii="DeutscheBank" w:hAnsi="DeutscheBank"/>
        </w:rPr>
        <w:t>;</w:t>
      </w:r>
    </w:p>
    <w:p w14:paraId="78349622" w14:textId="0D8132B5" w:rsidR="00071417" w:rsidRPr="007C3248" w:rsidRDefault="00071417" w:rsidP="00071417">
      <w:pPr>
        <w:pStyle w:val="ParagraphL2"/>
        <w:numPr>
          <w:ilvl w:val="1"/>
          <w:numId w:val="28"/>
        </w:numPr>
        <w:rPr>
          <w:rFonts w:ascii="DeutscheBank" w:hAnsi="DeutscheBank"/>
        </w:rPr>
      </w:pPr>
      <w:r w:rsidRPr="007C3248">
        <w:rPr>
          <w:rFonts w:ascii="DeutscheBank" w:hAnsi="DeutscheBank"/>
        </w:rPr>
        <w:t>changes to margin criteria;</w:t>
      </w:r>
    </w:p>
    <w:p w14:paraId="5E512D28" w14:textId="215053D4" w:rsidR="003561DB" w:rsidRPr="007C3248" w:rsidRDefault="00EC135E" w:rsidP="00B95B24">
      <w:pPr>
        <w:pStyle w:val="ParagraphL2"/>
        <w:numPr>
          <w:ilvl w:val="1"/>
          <w:numId w:val="28"/>
        </w:numPr>
        <w:rPr>
          <w:rFonts w:ascii="DeutscheBank" w:hAnsi="DeutscheBank"/>
        </w:rPr>
      </w:pPr>
      <w:r w:rsidRPr="007C3248">
        <w:rPr>
          <w:rFonts w:ascii="DeutscheBank" w:hAnsi="DeutscheBank"/>
        </w:rPr>
        <w:t>s</w:t>
      </w:r>
      <w:r w:rsidR="003561DB" w:rsidRPr="007C3248">
        <w:rPr>
          <w:rFonts w:ascii="DeutscheBank" w:hAnsi="DeutscheBank"/>
        </w:rPr>
        <w:t xml:space="preserve">ervice </w:t>
      </w:r>
      <w:r w:rsidRPr="007C3248">
        <w:rPr>
          <w:rFonts w:ascii="DeutscheBank" w:hAnsi="DeutscheBank"/>
        </w:rPr>
        <w:t>c</w:t>
      </w:r>
      <w:r w:rsidR="003561DB" w:rsidRPr="007C3248">
        <w:rPr>
          <w:rFonts w:ascii="DeutscheBank" w:hAnsi="DeutscheBank"/>
        </w:rPr>
        <w:t>losure</w:t>
      </w:r>
      <w:r w:rsidRPr="007C3248">
        <w:rPr>
          <w:rFonts w:ascii="DeutscheBank" w:hAnsi="DeutscheBank"/>
        </w:rPr>
        <w:t>;</w:t>
      </w:r>
    </w:p>
    <w:p w14:paraId="66D73E44" w14:textId="72E61E5A" w:rsidR="00B95B24" w:rsidRPr="007C3248" w:rsidRDefault="00B95B24" w:rsidP="00B95B24">
      <w:pPr>
        <w:pStyle w:val="ParagraphL2"/>
        <w:numPr>
          <w:ilvl w:val="1"/>
          <w:numId w:val="28"/>
        </w:numPr>
        <w:rPr>
          <w:rFonts w:ascii="DeutscheBank" w:hAnsi="DeutscheBank"/>
        </w:rPr>
      </w:pPr>
      <w:r w:rsidRPr="007C3248">
        <w:rPr>
          <w:rFonts w:ascii="DeutscheBank" w:hAnsi="DeutscheBank"/>
        </w:rPr>
        <w:t>contingent variation margin</w:t>
      </w:r>
      <w:r w:rsidR="00EC135E" w:rsidRPr="007C3248">
        <w:rPr>
          <w:rFonts w:ascii="DeutscheBank" w:hAnsi="DeutscheBank"/>
        </w:rPr>
        <w:t>; and</w:t>
      </w:r>
    </w:p>
    <w:p w14:paraId="174E9811" w14:textId="7D0E1B30" w:rsidR="00B95B24" w:rsidRPr="007C3248" w:rsidRDefault="00EC135E" w:rsidP="00B95B24">
      <w:pPr>
        <w:pStyle w:val="ParagraphL2"/>
        <w:numPr>
          <w:ilvl w:val="1"/>
          <w:numId w:val="28"/>
        </w:numPr>
        <w:rPr>
          <w:rFonts w:ascii="DeutscheBank" w:hAnsi="DeutscheBank"/>
        </w:rPr>
      </w:pPr>
      <w:r w:rsidRPr="007C3248">
        <w:rPr>
          <w:rFonts w:ascii="DeutscheBank" w:hAnsi="DeutscheBank"/>
        </w:rPr>
        <w:t>use of e</w:t>
      </w:r>
      <w:r w:rsidR="00B95B24" w:rsidRPr="007C3248">
        <w:rPr>
          <w:rFonts w:ascii="DeutscheBank" w:hAnsi="DeutscheBank"/>
        </w:rPr>
        <w:t>mergency powers</w:t>
      </w:r>
      <w:r w:rsidRPr="007C3248">
        <w:rPr>
          <w:rFonts w:ascii="DeutscheBank" w:hAnsi="DeutscheBank"/>
        </w:rPr>
        <w:t>.</w:t>
      </w:r>
    </w:p>
    <w:p w14:paraId="07CE8B1A" w14:textId="01D2071A" w:rsidR="00583679" w:rsidRPr="007C3248" w:rsidRDefault="00583679" w:rsidP="00583679">
      <w:pPr>
        <w:pStyle w:val="BodyText2"/>
        <w:ind w:left="0"/>
        <w:rPr>
          <w:rFonts w:ascii="DeutscheBank" w:hAnsi="DeutscheBank"/>
        </w:rPr>
      </w:pPr>
      <w:r w:rsidRPr="007C3248">
        <w:rPr>
          <w:rFonts w:ascii="DeutscheBank" w:hAnsi="DeutscheBank"/>
        </w:rPr>
        <w:t xml:space="preserve">Please see further the Appendices to this letter for details as to which of these measures are included in the rulebook of the relevant CCPs at which we clear on </w:t>
      </w:r>
      <w:r w:rsidRPr="007C3248">
        <w:rPr>
          <w:rFonts w:ascii="DeutscheBank" w:hAnsi="DeutscheBank"/>
        </w:rPr>
        <w:lastRenderedPageBreak/>
        <w:t>your behalf</w:t>
      </w:r>
      <w:r w:rsidR="00B94746" w:rsidRPr="007C3248">
        <w:rPr>
          <w:rFonts w:ascii="DeutscheBank" w:hAnsi="DeutscheBank"/>
        </w:rPr>
        <w:t xml:space="preserve"> or, </w:t>
      </w:r>
      <w:r w:rsidR="00B94746" w:rsidRPr="007C3248">
        <w:rPr>
          <w:rFonts w:ascii="DeutscheBank" w:hAnsi="DeutscheBank"/>
          <w:lang w:bidi="ar-SA"/>
        </w:rPr>
        <w:t>where we are facilitating an indirect clearing service, at which your transactions are cleared by a clearing member</w:t>
      </w:r>
      <w:r w:rsidR="00B94746" w:rsidRPr="007C3248">
        <w:rPr>
          <w:rFonts w:ascii="DeutscheBank" w:hAnsi="DeutscheBank"/>
        </w:rPr>
        <w:t xml:space="preserve"> on your behalf.</w:t>
      </w:r>
    </w:p>
    <w:p w14:paraId="4B6A84D4" w14:textId="79381E66" w:rsidR="00EF0679" w:rsidRPr="007C3248" w:rsidRDefault="006B1658" w:rsidP="00E723FB">
      <w:pPr>
        <w:pStyle w:val="BodyText2"/>
        <w:ind w:left="0"/>
        <w:rPr>
          <w:rFonts w:ascii="DeutscheBank" w:hAnsi="DeutscheBank"/>
        </w:rPr>
      </w:pPr>
      <w:r w:rsidRPr="007C3248">
        <w:rPr>
          <w:rFonts w:ascii="DeutscheBank" w:hAnsi="DeutscheBank"/>
        </w:rPr>
        <w:t xml:space="preserve">Please also refer to Part One B of </w:t>
      </w:r>
      <w:r w:rsidR="00C00B39" w:rsidRPr="007C3248">
        <w:rPr>
          <w:rFonts w:ascii="DeutscheBank" w:hAnsi="DeutscheBank"/>
        </w:rPr>
        <w:t xml:space="preserve">our </w:t>
      </w:r>
      <w:r w:rsidRPr="007C3248">
        <w:rPr>
          <w:rFonts w:ascii="DeutscheBank" w:hAnsi="DeutscheBank"/>
        </w:rPr>
        <w:t>Clearing Member Disclosure Document, "</w:t>
      </w:r>
      <w:r w:rsidRPr="007C3248">
        <w:rPr>
          <w:rFonts w:ascii="DeutscheBank" w:hAnsi="DeutscheBank"/>
          <w:i/>
          <w:iCs/>
        </w:rPr>
        <w:t>Will you get back the same type of asset as you originally provided to us as margin for a Client Transaction?</w:t>
      </w:r>
      <w:r w:rsidRPr="007C3248">
        <w:rPr>
          <w:rFonts w:ascii="DeutscheBank" w:hAnsi="DeutscheBank"/>
        </w:rPr>
        <w:t xml:space="preserve">" for a description of the type of compensation you may receive under a </w:t>
      </w:r>
      <w:r w:rsidR="008357FD" w:rsidRPr="007C3248">
        <w:rPr>
          <w:rFonts w:ascii="DeutscheBank" w:hAnsi="DeutscheBank"/>
        </w:rPr>
        <w:t>CCP</w:t>
      </w:r>
      <w:r w:rsidR="008357FD">
        <w:rPr>
          <w:rFonts w:ascii="DeutscheBank" w:hAnsi="DeutscheBank"/>
        </w:rPr>
        <w:t>’</w:t>
      </w:r>
      <w:r w:rsidR="008357FD" w:rsidRPr="007C3248">
        <w:rPr>
          <w:rFonts w:ascii="DeutscheBank" w:hAnsi="DeutscheBank"/>
        </w:rPr>
        <w:t>s default management procedure</w:t>
      </w:r>
      <w:r w:rsidR="008A28D0">
        <w:rPr>
          <w:rFonts w:ascii="DeutscheBank" w:hAnsi="DeutscheBank"/>
        </w:rPr>
        <w:t>s</w:t>
      </w:r>
      <w:r w:rsidRPr="007C3248">
        <w:rPr>
          <w:rFonts w:ascii="DeutscheBank" w:hAnsi="DeutscheBank"/>
        </w:rPr>
        <w:t>.</w:t>
      </w:r>
    </w:p>
    <w:p w14:paraId="084E8238" w14:textId="107822C8" w:rsidR="00450997" w:rsidRPr="007C3248" w:rsidRDefault="00EF0679" w:rsidP="00EF0679">
      <w:pPr>
        <w:pStyle w:val="BodyText"/>
        <w:jc w:val="center"/>
        <w:rPr>
          <w:rFonts w:ascii="DeutscheBank" w:hAnsi="DeutscheBank"/>
          <w:b/>
          <w:bCs/>
        </w:rPr>
      </w:pPr>
      <w:r w:rsidRPr="007C3248">
        <w:rPr>
          <w:rFonts w:ascii="DeutscheBank" w:hAnsi="DeutscheBank"/>
          <w:b/>
          <w:bCs/>
        </w:rPr>
        <w:t>III. Disclaimer</w:t>
      </w:r>
    </w:p>
    <w:p w14:paraId="715A9E2B" w14:textId="2F3C5EE6" w:rsidR="00EF0679" w:rsidRPr="007C3248" w:rsidRDefault="00EF0679" w:rsidP="001F4C60">
      <w:pPr>
        <w:pStyle w:val="BodyText2"/>
        <w:ind w:left="0"/>
        <w:rPr>
          <w:rFonts w:ascii="DeutscheBank" w:hAnsi="DeutscheBank" w:cs="Times New Roman"/>
          <w:bCs/>
        </w:rPr>
      </w:pPr>
      <w:r w:rsidRPr="007C3248">
        <w:rPr>
          <w:rFonts w:ascii="DeutscheBank" w:hAnsi="DeutscheBank" w:cs="Times New Roman"/>
          <w:bCs/>
        </w:rPr>
        <w:t>Recovery plans are not public and clearing members have to rely on voluntary disclosures by CCPs</w:t>
      </w:r>
      <w:r w:rsidR="00A42CF5" w:rsidRPr="007C3248">
        <w:rPr>
          <w:rFonts w:ascii="DeutscheBank" w:hAnsi="DeutscheBank" w:cs="Times New Roman"/>
          <w:bCs/>
        </w:rPr>
        <w:t xml:space="preserve"> and the provisions of CCPs</w:t>
      </w:r>
      <w:r w:rsidR="00E20D61" w:rsidRPr="007C3248">
        <w:rPr>
          <w:rFonts w:ascii="DeutscheBank" w:hAnsi="DeutscheBank" w:cs="Times New Roman"/>
          <w:bCs/>
        </w:rPr>
        <w:t>’</w:t>
      </w:r>
      <w:r w:rsidR="00A42CF5" w:rsidRPr="007C3248">
        <w:rPr>
          <w:rFonts w:ascii="DeutscheBank" w:hAnsi="DeutscheBank" w:cs="Times New Roman"/>
          <w:bCs/>
        </w:rPr>
        <w:t xml:space="preserve"> rulebooks</w:t>
      </w:r>
      <w:r w:rsidRPr="007C3248">
        <w:rPr>
          <w:rFonts w:ascii="DeutscheBank" w:hAnsi="DeutscheBank" w:cs="Times New Roman"/>
          <w:bCs/>
        </w:rPr>
        <w:t>. Additionally, CCPs may take actions which are not reflected in the information they have provided</w:t>
      </w:r>
      <w:r w:rsidR="00B71C32" w:rsidRPr="007C3248">
        <w:rPr>
          <w:rFonts w:ascii="DeutscheBank" w:hAnsi="DeutscheBank" w:cs="Times New Roman"/>
          <w:bCs/>
        </w:rPr>
        <w:t>. T</w:t>
      </w:r>
      <w:r w:rsidRPr="007C3248">
        <w:rPr>
          <w:rFonts w:ascii="DeutscheBank" w:hAnsi="DeutscheBank" w:cs="Times New Roman"/>
          <w:bCs/>
        </w:rPr>
        <w:t>herefore</w:t>
      </w:r>
      <w:r w:rsidR="00B71C32" w:rsidRPr="007C3248">
        <w:rPr>
          <w:rFonts w:ascii="DeutscheBank" w:hAnsi="DeutscheBank" w:cs="Times New Roman"/>
          <w:bCs/>
        </w:rPr>
        <w:t>,</w:t>
      </w:r>
      <w:r w:rsidRPr="007C3248">
        <w:rPr>
          <w:rFonts w:ascii="DeutscheBank" w:hAnsi="DeutscheBank" w:cs="Times New Roman"/>
          <w:bCs/>
        </w:rPr>
        <w:t xml:space="preserve"> </w:t>
      </w:r>
      <w:r w:rsidR="00B71C32" w:rsidRPr="007C3248">
        <w:rPr>
          <w:rFonts w:ascii="DeutscheBank" w:hAnsi="DeutscheBank" w:cs="Times New Roman"/>
          <w:bCs/>
        </w:rPr>
        <w:t xml:space="preserve">there may be other ways in which a CCP's recovery plan </w:t>
      </w:r>
      <w:r w:rsidR="00881399" w:rsidRPr="007C3248">
        <w:rPr>
          <w:rFonts w:ascii="DeutscheBank" w:hAnsi="DeutscheBank" w:cs="Times New Roman"/>
          <w:bCs/>
        </w:rPr>
        <w:t xml:space="preserve">may </w:t>
      </w:r>
      <w:r w:rsidR="00B71C32" w:rsidRPr="007C3248">
        <w:rPr>
          <w:rFonts w:ascii="DeutscheBank" w:hAnsi="DeutscheBank" w:cs="Times New Roman"/>
          <w:bCs/>
        </w:rPr>
        <w:t>impact you</w:t>
      </w:r>
      <w:r w:rsidRPr="007C3248">
        <w:rPr>
          <w:rFonts w:ascii="DeutscheBank" w:hAnsi="DeutscheBank" w:cs="Times New Roman"/>
          <w:bCs/>
        </w:rPr>
        <w:t xml:space="preserve"> which are not reflected in this </w:t>
      </w:r>
      <w:r w:rsidR="004E2090" w:rsidRPr="007C3248">
        <w:rPr>
          <w:rFonts w:ascii="DeutscheBank" w:hAnsi="DeutscheBank" w:cs="Times New Roman"/>
          <w:bCs/>
        </w:rPr>
        <w:t>disclosure.</w:t>
      </w:r>
    </w:p>
    <w:p w14:paraId="38ADD19D" w14:textId="666AD27D" w:rsidR="00EF0679" w:rsidRPr="007C3248" w:rsidRDefault="00EF0679" w:rsidP="001F4C60">
      <w:pPr>
        <w:pStyle w:val="BodyText2"/>
        <w:ind w:left="0"/>
        <w:rPr>
          <w:rFonts w:ascii="DeutscheBank" w:hAnsi="DeutscheBank" w:cs="Times New Roman"/>
          <w:bCs/>
        </w:rPr>
      </w:pPr>
      <w:r w:rsidRPr="007C3248">
        <w:rPr>
          <w:rFonts w:ascii="DeutscheBank" w:hAnsi="DeutscheBank" w:cs="Times New Roman"/>
          <w:bCs/>
        </w:rPr>
        <w:t xml:space="preserve">The information in this </w:t>
      </w:r>
      <w:r w:rsidR="004E2090" w:rsidRPr="007C3248">
        <w:rPr>
          <w:rFonts w:ascii="DeutscheBank" w:hAnsi="DeutscheBank" w:cs="Times New Roman"/>
          <w:bCs/>
        </w:rPr>
        <w:t>disclosure</w:t>
      </w:r>
      <w:r w:rsidRPr="007C3248">
        <w:rPr>
          <w:rFonts w:ascii="DeutscheBank" w:hAnsi="DeutscheBank" w:cs="Times New Roman"/>
          <w:bCs/>
        </w:rPr>
        <w:t xml:space="preserve"> is based on</w:t>
      </w:r>
      <w:r w:rsidR="00A87E30" w:rsidRPr="007C3248">
        <w:rPr>
          <w:rFonts w:ascii="DeutscheBank" w:hAnsi="DeutscheBank" w:cs="Times New Roman"/>
          <w:bCs/>
        </w:rPr>
        <w:t xml:space="preserve"> the general provisions of CCPR </w:t>
      </w:r>
      <w:r w:rsidR="009078C3" w:rsidRPr="007C3248">
        <w:rPr>
          <w:rFonts w:ascii="DeutscheBank" w:hAnsi="DeutscheBank" w:cs="Times New Roman"/>
          <w:bCs/>
        </w:rPr>
        <w:t>and EMIR</w:t>
      </w:r>
      <w:r w:rsidR="003F6C5B" w:rsidRPr="007C3248">
        <w:rPr>
          <w:rFonts w:ascii="DeutscheBank" w:hAnsi="DeutscheBank" w:cs="Times New Roman"/>
          <w:bCs/>
        </w:rPr>
        <w:t>, as well as the information publicly available on CCPs’ websites (including in the rulebooks of those CCPs)</w:t>
      </w:r>
      <w:r w:rsidR="00371D7E" w:rsidRPr="007C3248">
        <w:rPr>
          <w:rFonts w:ascii="DeutscheBank" w:hAnsi="DeutscheBank" w:cs="Times New Roman"/>
          <w:bCs/>
        </w:rPr>
        <w:t>.</w:t>
      </w:r>
      <w:r w:rsidR="00A87E30" w:rsidRPr="007C3248">
        <w:rPr>
          <w:rFonts w:ascii="DeutscheBank" w:hAnsi="DeutscheBank" w:cs="Times New Roman"/>
          <w:bCs/>
        </w:rPr>
        <w:t xml:space="preserve"> </w:t>
      </w:r>
    </w:p>
    <w:p w14:paraId="6E85FBD8" w14:textId="55377897" w:rsidR="00EF0679" w:rsidRPr="007C3248" w:rsidRDefault="00EF0679" w:rsidP="001F4C60">
      <w:pPr>
        <w:pStyle w:val="BodyText2"/>
        <w:ind w:left="0"/>
        <w:rPr>
          <w:rFonts w:ascii="DeutscheBank" w:hAnsi="DeutscheBank" w:cs="Times New Roman"/>
          <w:bCs/>
        </w:rPr>
      </w:pPr>
      <w:r w:rsidRPr="007C3248">
        <w:rPr>
          <w:rFonts w:ascii="DeutscheBank" w:hAnsi="DeutscheBank" w:cs="Times New Roman"/>
          <w:bCs/>
        </w:rPr>
        <w:t xml:space="preserve">This </w:t>
      </w:r>
      <w:r w:rsidR="00C00B39" w:rsidRPr="007C3248">
        <w:rPr>
          <w:rFonts w:ascii="DeutscheBank" w:hAnsi="DeutscheBank" w:cs="Times New Roman"/>
          <w:bCs/>
        </w:rPr>
        <w:t>disclosure</w:t>
      </w:r>
      <w:r w:rsidRPr="007C3248">
        <w:rPr>
          <w:rFonts w:ascii="DeutscheBank" w:hAnsi="DeutscheBank" w:cs="Times New Roman"/>
          <w:bCs/>
        </w:rPr>
        <w:t xml:space="preserve"> </w:t>
      </w:r>
      <w:r w:rsidR="00881399" w:rsidRPr="007C3248">
        <w:rPr>
          <w:rFonts w:ascii="DeutscheBank" w:hAnsi="DeutscheBank" w:cs="Times New Roman"/>
          <w:bCs/>
        </w:rPr>
        <w:t>may</w:t>
      </w:r>
      <w:r w:rsidRPr="007C3248">
        <w:rPr>
          <w:rFonts w:ascii="DeutscheBank" w:hAnsi="DeutscheBank" w:cs="Times New Roman"/>
          <w:bCs/>
        </w:rPr>
        <w:t xml:space="preserve"> be updated from time to time to reflect regulatory guidance</w:t>
      </w:r>
      <w:r w:rsidR="00E7599A" w:rsidRPr="007C3248">
        <w:rPr>
          <w:rFonts w:ascii="DeutscheBank" w:hAnsi="DeutscheBank" w:cs="Times New Roman"/>
          <w:bCs/>
        </w:rPr>
        <w:t xml:space="preserve"> </w:t>
      </w:r>
      <w:r w:rsidR="00D13939" w:rsidRPr="007C3248">
        <w:rPr>
          <w:rFonts w:ascii="DeutscheBank" w:hAnsi="DeutscheBank" w:cs="Times New Roman"/>
          <w:bCs/>
        </w:rPr>
        <w:t>and the appendices hereto may be updated as CCPs update their rulebooks or disclose information about their recovery plans</w:t>
      </w:r>
      <w:r w:rsidRPr="007C3248">
        <w:rPr>
          <w:rFonts w:ascii="DeutscheBank" w:hAnsi="DeutscheBank" w:cs="Times New Roman"/>
          <w:bCs/>
        </w:rPr>
        <w:t xml:space="preserve">. </w:t>
      </w:r>
      <w:r w:rsidR="00065061" w:rsidRPr="007C3248">
        <w:rPr>
          <w:rFonts w:ascii="DeutscheBank" w:hAnsi="DeutscheBank" w:cs="Times New Roman"/>
          <w:bCs/>
        </w:rPr>
        <w:t>However, we are under no obligation to keep th</w:t>
      </w:r>
      <w:r w:rsidR="004E2090" w:rsidRPr="007C3248">
        <w:rPr>
          <w:rFonts w:ascii="DeutscheBank" w:hAnsi="DeutscheBank" w:cs="Times New Roman"/>
          <w:bCs/>
        </w:rPr>
        <w:t>is</w:t>
      </w:r>
      <w:r w:rsidR="00065061" w:rsidRPr="007C3248">
        <w:rPr>
          <w:rFonts w:ascii="DeutscheBank" w:hAnsi="DeutscheBank" w:cs="Times New Roman"/>
          <w:bCs/>
        </w:rPr>
        <w:t xml:space="preserve"> disclosure up to date at all times and there may therefore be some delay</w:t>
      </w:r>
      <w:r w:rsidR="00BC31AC" w:rsidRPr="007C3248">
        <w:rPr>
          <w:rFonts w:ascii="DeutscheBank" w:hAnsi="DeutscheBank" w:cs="Times New Roman"/>
          <w:bCs/>
        </w:rPr>
        <w:t xml:space="preserve"> between a CCP updating its rulebook, or disclosure relating thereto, and consequential updates being made to th</w:t>
      </w:r>
      <w:r w:rsidR="004E2090" w:rsidRPr="007C3248">
        <w:rPr>
          <w:rFonts w:ascii="DeutscheBank" w:hAnsi="DeutscheBank" w:cs="Times New Roman"/>
          <w:bCs/>
        </w:rPr>
        <w:t>is</w:t>
      </w:r>
      <w:r w:rsidR="00BC31AC" w:rsidRPr="007C3248">
        <w:rPr>
          <w:rFonts w:ascii="DeutscheBank" w:hAnsi="DeutscheBank" w:cs="Times New Roman"/>
          <w:bCs/>
        </w:rPr>
        <w:t xml:space="preserve"> disclosure. </w:t>
      </w:r>
      <w:r w:rsidRPr="007C3248">
        <w:rPr>
          <w:rFonts w:ascii="DeutscheBank" w:hAnsi="DeutscheBank" w:cs="Times New Roman"/>
          <w:bCs/>
        </w:rPr>
        <w:t xml:space="preserve">Clients are therefore advised to consult the latest version of </w:t>
      </w:r>
      <w:r w:rsidR="00C95028" w:rsidRPr="007C3248">
        <w:rPr>
          <w:rFonts w:ascii="DeutscheBank" w:hAnsi="DeutscheBank" w:cs="Times New Roman"/>
          <w:bCs/>
        </w:rPr>
        <w:t>the relevant CCP’s rulebook</w:t>
      </w:r>
      <w:r w:rsidR="00B84281" w:rsidRPr="007C3248">
        <w:rPr>
          <w:rFonts w:ascii="DeutscheBank" w:hAnsi="DeutscheBank" w:cs="Times New Roman"/>
          <w:bCs/>
        </w:rPr>
        <w:t xml:space="preserve">, in addition to the latest version of </w:t>
      </w:r>
      <w:r w:rsidRPr="007C3248">
        <w:rPr>
          <w:rFonts w:ascii="DeutscheBank" w:hAnsi="DeutscheBank" w:cs="Times New Roman"/>
          <w:bCs/>
        </w:rPr>
        <w:t xml:space="preserve">this </w:t>
      </w:r>
      <w:r w:rsidR="004E2090" w:rsidRPr="007C3248">
        <w:rPr>
          <w:rFonts w:ascii="DeutscheBank" w:hAnsi="DeutscheBank" w:cs="Times New Roman"/>
          <w:bCs/>
        </w:rPr>
        <w:t xml:space="preserve">disclosure </w:t>
      </w:r>
      <w:r w:rsidR="00922A35" w:rsidRPr="007C3248">
        <w:rPr>
          <w:rFonts w:ascii="DeutscheBank" w:hAnsi="DeutscheBank" w:cs="Times New Roman"/>
          <w:bCs/>
        </w:rPr>
        <w:t>and the appendices</w:t>
      </w:r>
      <w:r w:rsidR="00E723FB" w:rsidRPr="007C3248">
        <w:rPr>
          <w:rFonts w:ascii="DeutscheBank" w:hAnsi="DeutscheBank" w:cs="Times New Roman"/>
          <w:bCs/>
        </w:rPr>
        <w:t xml:space="preserve">. </w:t>
      </w:r>
    </w:p>
    <w:p w14:paraId="300984A0" w14:textId="0D888674" w:rsidR="00773D90" w:rsidRPr="007C3248" w:rsidRDefault="00773D90" w:rsidP="001F4C60">
      <w:pPr>
        <w:pStyle w:val="BodyText2"/>
        <w:ind w:left="0"/>
        <w:rPr>
          <w:rFonts w:ascii="DeutscheBank" w:hAnsi="DeutscheBank"/>
        </w:rPr>
      </w:pPr>
      <w:r w:rsidRPr="007C3248">
        <w:rPr>
          <w:rFonts w:ascii="DeutscheBank" w:hAnsi="DeutscheBank"/>
        </w:rPr>
        <w:t xml:space="preserve">This </w:t>
      </w:r>
      <w:r w:rsidR="00C00B39" w:rsidRPr="007C3248">
        <w:rPr>
          <w:rFonts w:ascii="DeutscheBank" w:hAnsi="DeutscheBank" w:cs="Times New Roman"/>
          <w:bCs/>
        </w:rPr>
        <w:t>disclosure</w:t>
      </w:r>
      <w:r w:rsidRPr="007C3248">
        <w:rPr>
          <w:rFonts w:ascii="DeutscheBank" w:hAnsi="DeutscheBank"/>
        </w:rPr>
        <w:t xml:space="preserve"> does not constitute legal or any other form of advice and must not be relied on as such. This </w:t>
      </w:r>
      <w:r w:rsidR="00C00B39" w:rsidRPr="007C3248">
        <w:rPr>
          <w:rFonts w:ascii="DeutscheBank" w:hAnsi="DeutscheBank"/>
        </w:rPr>
        <w:t>disclosure</w:t>
      </w:r>
      <w:r w:rsidRPr="007C3248">
        <w:rPr>
          <w:rFonts w:ascii="DeutscheBank" w:hAnsi="DeutscheBank"/>
        </w:rPr>
        <w:t xml:space="preserve"> provides a high-level overview of a complex and new area of law, the effect of which will vary depending on the specific facts of any particular case. You and, where applicable, your clients may wish to appoint independent professional advisors to advise you on this.</w:t>
      </w:r>
    </w:p>
    <w:p w14:paraId="46F86A44" w14:textId="52E02C3E" w:rsidR="005C14E2" w:rsidRPr="007C3248" w:rsidRDefault="005C14E2" w:rsidP="005C14E2">
      <w:pPr>
        <w:rPr>
          <w:rFonts w:ascii="DeutscheBank" w:hAnsi="DeutscheBank" w:cstheme="minorBidi"/>
          <w:sz w:val="22"/>
          <w:szCs w:val="22"/>
          <w:lang w:bidi="ar-SA"/>
        </w:rPr>
      </w:pPr>
      <w:r w:rsidRPr="007C3248">
        <w:rPr>
          <w:rFonts w:ascii="DeutscheBank" w:hAnsi="DeutscheBank"/>
        </w:rPr>
        <w:t xml:space="preserve">This </w:t>
      </w:r>
      <w:r w:rsidR="00C00B39" w:rsidRPr="007C3248">
        <w:rPr>
          <w:rFonts w:ascii="DeutscheBank" w:hAnsi="DeutscheBank"/>
        </w:rPr>
        <w:t xml:space="preserve">disclosure </w:t>
      </w:r>
      <w:r w:rsidRPr="007C3248">
        <w:rPr>
          <w:rFonts w:ascii="DeutscheBank" w:hAnsi="DeutscheBank"/>
        </w:rPr>
        <w:t>is not an exhaustive information document, please</w:t>
      </w:r>
      <w:r w:rsidR="00971EC1" w:rsidRPr="007C3248">
        <w:rPr>
          <w:rFonts w:ascii="DeutscheBank" w:hAnsi="DeutscheBank"/>
        </w:rPr>
        <w:t xml:space="preserve"> also</w:t>
      </w:r>
      <w:r w:rsidRPr="007C3248">
        <w:rPr>
          <w:rFonts w:ascii="DeutscheBank" w:hAnsi="DeutscheBank"/>
        </w:rPr>
        <w:t xml:space="preserve"> refer to other disclosure documents on other aspects of CCPR and EMIR.</w:t>
      </w:r>
    </w:p>
    <w:p w14:paraId="6F894C58" w14:textId="341E1479" w:rsidR="003D57DE" w:rsidRPr="007C3248" w:rsidRDefault="003D57DE">
      <w:pPr>
        <w:spacing w:after="0" w:line="240" w:lineRule="auto"/>
        <w:jc w:val="left"/>
        <w:rPr>
          <w:rFonts w:ascii="DeutscheBank" w:hAnsi="DeutscheBank"/>
        </w:rPr>
      </w:pPr>
      <w:r w:rsidRPr="007C3248">
        <w:rPr>
          <w:rFonts w:ascii="DeutscheBank" w:hAnsi="DeutscheBank"/>
        </w:rPr>
        <w:br w:type="page"/>
      </w:r>
    </w:p>
    <w:p w14:paraId="010431DD" w14:textId="08516BCB" w:rsidR="0028565C" w:rsidRPr="007C3248" w:rsidRDefault="003D57DE" w:rsidP="00004219">
      <w:pPr>
        <w:spacing w:after="0" w:line="240" w:lineRule="auto"/>
        <w:jc w:val="center"/>
        <w:rPr>
          <w:rFonts w:ascii="DeutscheBank" w:hAnsi="DeutscheBank"/>
          <w:b/>
          <w:bCs/>
        </w:rPr>
      </w:pPr>
      <w:r w:rsidRPr="007C3248">
        <w:rPr>
          <w:rFonts w:ascii="DeutscheBank" w:hAnsi="DeutscheBank"/>
          <w:b/>
          <w:bCs/>
        </w:rPr>
        <w:lastRenderedPageBreak/>
        <w:t>Appendix 1</w:t>
      </w:r>
      <w:r w:rsidR="00BC43BC" w:rsidRPr="007C3248">
        <w:rPr>
          <w:rFonts w:ascii="DeutscheBank" w:hAnsi="DeutscheBank"/>
        </w:rPr>
        <w:t xml:space="preserve"> -</w:t>
      </w:r>
      <w:r w:rsidRPr="007C3248">
        <w:rPr>
          <w:rFonts w:ascii="DeutscheBank" w:hAnsi="DeutscheBank"/>
        </w:rPr>
        <w:t xml:space="preserve"> </w:t>
      </w:r>
      <w:r w:rsidR="00BC43BC" w:rsidRPr="007C3248">
        <w:rPr>
          <w:rFonts w:ascii="DeutscheBank" w:hAnsi="DeutscheBank"/>
          <w:b/>
          <w:bCs/>
        </w:rPr>
        <w:t>BME Clearing, S.A.U</w:t>
      </w:r>
    </w:p>
    <w:p w14:paraId="36A0EF9D" w14:textId="1427E714" w:rsidR="00BC43BC" w:rsidRPr="007C3248" w:rsidRDefault="00BC43BC" w:rsidP="00C441BC">
      <w:pPr>
        <w:spacing w:after="0" w:line="240" w:lineRule="auto"/>
        <w:jc w:val="left"/>
        <w:rPr>
          <w:rFonts w:ascii="DeutscheBank" w:hAnsi="DeutscheBank"/>
          <w:b/>
          <w:bCs/>
        </w:rPr>
      </w:pPr>
    </w:p>
    <w:p w14:paraId="5B490A1F" w14:textId="04191E1E" w:rsidR="00BC43BC" w:rsidRPr="007C3248" w:rsidRDefault="00BC43BC" w:rsidP="00BC43BC">
      <w:pPr>
        <w:pStyle w:val="Body"/>
        <w:jc w:val="left"/>
        <w:rPr>
          <w:rFonts w:ascii="DeutscheBank" w:hAnsi="DeutscheBank"/>
          <w:sz w:val="24"/>
          <w:szCs w:val="24"/>
        </w:rPr>
      </w:pPr>
      <w:r w:rsidRPr="007C3248">
        <w:rPr>
          <w:rFonts w:ascii="DeutscheBank" w:hAnsi="DeutscheBank"/>
          <w:sz w:val="24"/>
          <w:szCs w:val="24"/>
        </w:rPr>
        <w:t>This Appendix sets out the recovery and default tools available to, or that may be applied to, BME Clearing S.A.U (“</w:t>
      </w:r>
      <w:r w:rsidRPr="007C3248">
        <w:rPr>
          <w:rFonts w:ascii="DeutscheBank" w:hAnsi="DeutscheBank"/>
          <w:b/>
          <w:bCs/>
          <w:sz w:val="24"/>
          <w:szCs w:val="24"/>
        </w:rPr>
        <w:t>BME</w:t>
      </w:r>
      <w:r w:rsidRPr="007C3248">
        <w:rPr>
          <w:rFonts w:ascii="DeutscheBank" w:hAnsi="DeutscheBank"/>
          <w:sz w:val="24"/>
          <w:szCs w:val="24"/>
        </w:rPr>
        <w:t>”) in a recovery and resolution scenario as set out in the BME Central Counterparty Rulebook effective from 12 February 2023 (the “</w:t>
      </w:r>
      <w:r w:rsidRPr="007C3248">
        <w:rPr>
          <w:rFonts w:ascii="DeutscheBank" w:hAnsi="DeutscheBank"/>
          <w:b/>
          <w:bCs/>
          <w:sz w:val="24"/>
          <w:szCs w:val="24"/>
        </w:rPr>
        <w:t>Rulebook</w:t>
      </w:r>
      <w:r w:rsidRPr="007C3248">
        <w:rPr>
          <w:rFonts w:ascii="DeutscheBank" w:hAnsi="DeutscheBank"/>
          <w:sz w:val="24"/>
          <w:szCs w:val="24"/>
        </w:rPr>
        <w:t>”) and certain other documentation published by BME referred to in this Appendix.</w:t>
      </w:r>
      <w:r w:rsidR="00934742">
        <w:rPr>
          <w:rFonts w:ascii="DeutscheBank" w:hAnsi="DeutscheBank"/>
          <w:sz w:val="24"/>
          <w:szCs w:val="24"/>
        </w:rPr>
        <w:t xml:space="preserve"> </w:t>
      </w:r>
    </w:p>
    <w:p w14:paraId="1C164033" w14:textId="77777777" w:rsidR="00BC43BC" w:rsidRPr="007C3248" w:rsidRDefault="00BC43BC" w:rsidP="00BC43BC">
      <w:pPr>
        <w:pStyle w:val="Body1"/>
        <w:ind w:left="0"/>
        <w:rPr>
          <w:rFonts w:ascii="DeutscheBank" w:hAnsi="DeutscheBank"/>
          <w:sz w:val="24"/>
          <w:szCs w:val="24"/>
        </w:rPr>
      </w:pPr>
      <w:r w:rsidRPr="007C3248">
        <w:rPr>
          <w:rFonts w:ascii="DeutscheBank" w:hAnsi="DeutscheBank"/>
          <w:sz w:val="24"/>
          <w:szCs w:val="24"/>
        </w:rPr>
        <w:t>* indicates that while this measure is not specifically contemplated in the Rulebook, it is likely to be available to BME by virtue of its general powers.</w:t>
      </w:r>
    </w:p>
    <w:tbl>
      <w:tblPr>
        <w:tblStyle w:val="TableGrid"/>
        <w:tblW w:w="8926" w:type="dxa"/>
        <w:tblLook w:val="04A0" w:firstRow="1" w:lastRow="0" w:firstColumn="1" w:lastColumn="0" w:noHBand="0" w:noVBand="1"/>
      </w:tblPr>
      <w:tblGrid>
        <w:gridCol w:w="1676"/>
        <w:gridCol w:w="1848"/>
        <w:gridCol w:w="2317"/>
        <w:gridCol w:w="3085"/>
      </w:tblGrid>
      <w:tr w:rsidR="00BC43BC" w:rsidRPr="007C3248" w14:paraId="159A2840" w14:textId="77777777" w:rsidTr="00BC43BC">
        <w:trPr>
          <w:trHeight w:val="771"/>
        </w:trPr>
        <w:tc>
          <w:tcPr>
            <w:tcW w:w="1688" w:type="dxa"/>
            <w:tcBorders>
              <w:top w:val="single" w:sz="4" w:space="0" w:color="auto"/>
              <w:left w:val="single" w:sz="4" w:space="0" w:color="auto"/>
              <w:bottom w:val="single" w:sz="4" w:space="0" w:color="auto"/>
              <w:right w:val="single" w:sz="4" w:space="0" w:color="auto"/>
            </w:tcBorders>
            <w:hideMark/>
          </w:tcPr>
          <w:p w14:paraId="1CA99E73" w14:textId="77777777" w:rsidR="00BC43BC" w:rsidRPr="007C3248" w:rsidRDefault="00BC43BC">
            <w:pPr>
              <w:rPr>
                <w:rFonts w:ascii="DeutscheBank" w:hAnsi="DeutscheBank" w:cs="Times New Roman"/>
                <w:b/>
                <w:bCs/>
              </w:rPr>
            </w:pPr>
            <w:r w:rsidRPr="007C3248">
              <w:rPr>
                <w:rFonts w:ascii="DeutscheBank" w:hAnsi="DeutscheBank" w:cs="Times New Roman"/>
                <w:b/>
                <w:bCs/>
              </w:rPr>
              <w:t>Measure</w:t>
            </w:r>
          </w:p>
        </w:tc>
        <w:tc>
          <w:tcPr>
            <w:tcW w:w="1670" w:type="dxa"/>
            <w:tcBorders>
              <w:top w:val="single" w:sz="4" w:space="0" w:color="auto"/>
              <w:left w:val="single" w:sz="4" w:space="0" w:color="auto"/>
              <w:bottom w:val="single" w:sz="4" w:space="0" w:color="auto"/>
              <w:right w:val="single" w:sz="4" w:space="0" w:color="auto"/>
            </w:tcBorders>
            <w:hideMark/>
          </w:tcPr>
          <w:p w14:paraId="323064EA" w14:textId="77777777" w:rsidR="00BC43BC" w:rsidRPr="007C3248" w:rsidRDefault="00BC43BC">
            <w:pPr>
              <w:rPr>
                <w:rFonts w:ascii="DeutscheBank" w:hAnsi="DeutscheBank" w:cs="Times New Roman"/>
                <w:b/>
                <w:bCs/>
              </w:rPr>
            </w:pPr>
            <w:r w:rsidRPr="007C3248">
              <w:rPr>
                <w:rFonts w:ascii="DeutscheBank" w:hAnsi="DeutscheBank" w:cs="Times New Roman"/>
                <w:b/>
                <w:bCs/>
              </w:rPr>
              <w:t>Contemplated in Rulebook</w:t>
            </w:r>
          </w:p>
        </w:tc>
        <w:tc>
          <w:tcPr>
            <w:tcW w:w="2371" w:type="dxa"/>
            <w:tcBorders>
              <w:top w:val="single" w:sz="4" w:space="0" w:color="auto"/>
              <w:left w:val="single" w:sz="4" w:space="0" w:color="auto"/>
              <w:bottom w:val="single" w:sz="4" w:space="0" w:color="auto"/>
              <w:right w:val="single" w:sz="4" w:space="0" w:color="auto"/>
            </w:tcBorders>
            <w:hideMark/>
          </w:tcPr>
          <w:p w14:paraId="059C3543" w14:textId="203E16D7" w:rsidR="00BC43BC" w:rsidRPr="007C3248" w:rsidRDefault="00BC43BC">
            <w:pPr>
              <w:rPr>
                <w:rFonts w:ascii="DeutscheBank" w:hAnsi="DeutscheBank" w:cs="Times New Roman"/>
                <w:b/>
                <w:bCs/>
              </w:rPr>
            </w:pPr>
            <w:r w:rsidRPr="007C3248">
              <w:rPr>
                <w:rFonts w:ascii="DeutscheBank" w:hAnsi="DeutscheBank" w:cs="Times New Roman"/>
                <w:b/>
                <w:bCs/>
              </w:rPr>
              <w:t>Rulebook Reference</w:t>
            </w:r>
          </w:p>
        </w:tc>
        <w:tc>
          <w:tcPr>
            <w:tcW w:w="3197" w:type="dxa"/>
            <w:tcBorders>
              <w:top w:val="single" w:sz="4" w:space="0" w:color="auto"/>
              <w:left w:val="single" w:sz="4" w:space="0" w:color="auto"/>
              <w:bottom w:val="single" w:sz="4" w:space="0" w:color="auto"/>
              <w:right w:val="single" w:sz="4" w:space="0" w:color="auto"/>
            </w:tcBorders>
            <w:hideMark/>
          </w:tcPr>
          <w:p w14:paraId="54B3ED0F" w14:textId="77777777" w:rsidR="00BC43BC" w:rsidRPr="007C3248" w:rsidRDefault="00BC43BC">
            <w:pPr>
              <w:rPr>
                <w:rFonts w:ascii="DeutscheBank" w:hAnsi="DeutscheBank" w:cs="Times New Roman"/>
                <w:b/>
                <w:bCs/>
              </w:rPr>
            </w:pPr>
            <w:r w:rsidRPr="007C3248">
              <w:rPr>
                <w:rFonts w:ascii="DeutscheBank" w:hAnsi="DeutscheBank" w:cs="Times New Roman"/>
                <w:b/>
                <w:bCs/>
              </w:rPr>
              <w:t>Additional Comments</w:t>
            </w:r>
          </w:p>
        </w:tc>
      </w:tr>
      <w:tr w:rsidR="00BC43BC" w:rsidRPr="007C3248" w14:paraId="3C537CC7" w14:textId="77777777" w:rsidTr="00BC43BC">
        <w:trPr>
          <w:trHeight w:val="452"/>
        </w:trPr>
        <w:tc>
          <w:tcPr>
            <w:tcW w:w="1688" w:type="dxa"/>
            <w:tcBorders>
              <w:top w:val="single" w:sz="4" w:space="0" w:color="auto"/>
              <w:left w:val="single" w:sz="4" w:space="0" w:color="auto"/>
              <w:bottom w:val="single" w:sz="4" w:space="0" w:color="auto"/>
              <w:right w:val="single" w:sz="4" w:space="0" w:color="auto"/>
            </w:tcBorders>
            <w:vAlign w:val="center"/>
          </w:tcPr>
          <w:p w14:paraId="5606E3E2" w14:textId="77777777" w:rsidR="00BC43BC" w:rsidRPr="007C3248" w:rsidRDefault="00BC43BC">
            <w:pPr>
              <w:rPr>
                <w:rFonts w:ascii="DeutscheBank" w:hAnsi="DeutscheBank" w:cs="Times New Roman"/>
                <w:b/>
                <w:bCs/>
              </w:rPr>
            </w:pPr>
            <w:r w:rsidRPr="007C3248">
              <w:rPr>
                <w:rFonts w:ascii="DeutscheBank" w:hAnsi="DeutscheBank" w:cs="Times New Roman"/>
                <w:b/>
                <w:bCs/>
              </w:rPr>
              <w:t>Tear-up</w:t>
            </w:r>
          </w:p>
          <w:p w14:paraId="61613DA0" w14:textId="77777777" w:rsidR="00BC43BC" w:rsidRPr="007C3248" w:rsidRDefault="00BC43BC">
            <w:pPr>
              <w:rPr>
                <w:rFonts w:ascii="DeutscheBank" w:hAnsi="DeutscheBank" w:cs="Times New Roman"/>
                <w:b/>
                <w:bCs/>
              </w:rPr>
            </w:pPr>
          </w:p>
        </w:tc>
        <w:tc>
          <w:tcPr>
            <w:tcW w:w="1670" w:type="dxa"/>
            <w:tcBorders>
              <w:top w:val="single" w:sz="4" w:space="0" w:color="auto"/>
              <w:left w:val="single" w:sz="4" w:space="0" w:color="auto"/>
              <w:bottom w:val="single" w:sz="4" w:space="0" w:color="auto"/>
              <w:right w:val="single" w:sz="4" w:space="0" w:color="auto"/>
            </w:tcBorders>
            <w:vAlign w:val="center"/>
            <w:hideMark/>
          </w:tcPr>
          <w:p w14:paraId="6A860BDF" w14:textId="77777777" w:rsidR="00BC43BC" w:rsidRPr="007C3248" w:rsidRDefault="00BC43BC">
            <w:pPr>
              <w:jc w:val="center"/>
              <w:rPr>
                <w:rFonts w:ascii="DeutscheBank" w:hAnsi="DeutscheBank" w:cs="Times New Roman"/>
              </w:rPr>
            </w:pPr>
            <w:r w:rsidRPr="007C3248">
              <w:rPr>
                <w:rFonts w:ascii="DeutscheBank" w:hAnsi="DeutscheBank" w:cs="Times New Roman"/>
              </w:rPr>
              <w:t>x*</w:t>
            </w:r>
          </w:p>
        </w:tc>
        <w:tc>
          <w:tcPr>
            <w:tcW w:w="2371" w:type="dxa"/>
            <w:tcBorders>
              <w:top w:val="single" w:sz="4" w:space="0" w:color="auto"/>
              <w:left w:val="single" w:sz="4" w:space="0" w:color="auto"/>
              <w:bottom w:val="single" w:sz="4" w:space="0" w:color="auto"/>
              <w:right w:val="single" w:sz="4" w:space="0" w:color="auto"/>
            </w:tcBorders>
            <w:vAlign w:val="center"/>
            <w:hideMark/>
          </w:tcPr>
          <w:p w14:paraId="338267AB" w14:textId="77777777" w:rsidR="00BC43BC" w:rsidRPr="007C3248" w:rsidRDefault="00BC43BC">
            <w:pPr>
              <w:jc w:val="center"/>
              <w:rPr>
                <w:rFonts w:ascii="DeutscheBank" w:hAnsi="DeutscheBank" w:cs="Times New Roman"/>
              </w:rPr>
            </w:pPr>
            <w:r w:rsidRPr="007C3248">
              <w:rPr>
                <w:rFonts w:ascii="DeutscheBank" w:hAnsi="DeutscheBank" w:cs="Times New Roman"/>
              </w:rPr>
              <w:t>n/a</w:t>
            </w:r>
          </w:p>
        </w:tc>
        <w:tc>
          <w:tcPr>
            <w:tcW w:w="3197" w:type="dxa"/>
            <w:tcBorders>
              <w:top w:val="single" w:sz="4" w:space="0" w:color="auto"/>
              <w:left w:val="single" w:sz="4" w:space="0" w:color="auto"/>
              <w:bottom w:val="single" w:sz="4" w:space="0" w:color="auto"/>
              <w:right w:val="single" w:sz="4" w:space="0" w:color="auto"/>
            </w:tcBorders>
            <w:vAlign w:val="center"/>
            <w:hideMark/>
          </w:tcPr>
          <w:p w14:paraId="2CCFD60D" w14:textId="77777777" w:rsidR="00BC43BC" w:rsidRPr="007C3248" w:rsidRDefault="00BC43BC">
            <w:pPr>
              <w:jc w:val="center"/>
              <w:rPr>
                <w:rFonts w:ascii="DeutscheBank" w:hAnsi="DeutscheBank" w:cs="Times New Roman"/>
              </w:rPr>
            </w:pPr>
            <w:r w:rsidRPr="007C3248">
              <w:rPr>
                <w:rFonts w:ascii="DeutscheBank" w:hAnsi="DeutscheBank" w:cs="Times New Roman"/>
              </w:rPr>
              <w:t>n/a</w:t>
            </w:r>
          </w:p>
        </w:tc>
      </w:tr>
      <w:tr w:rsidR="00BC43BC" w:rsidRPr="007C3248" w14:paraId="44D4E588" w14:textId="77777777" w:rsidTr="00BC43BC">
        <w:trPr>
          <w:trHeight w:val="341"/>
        </w:trPr>
        <w:tc>
          <w:tcPr>
            <w:tcW w:w="1688" w:type="dxa"/>
            <w:tcBorders>
              <w:top w:val="single" w:sz="4" w:space="0" w:color="auto"/>
              <w:left w:val="single" w:sz="4" w:space="0" w:color="auto"/>
              <w:bottom w:val="single" w:sz="4" w:space="0" w:color="auto"/>
              <w:right w:val="single" w:sz="4" w:space="0" w:color="auto"/>
            </w:tcBorders>
            <w:vAlign w:val="center"/>
            <w:hideMark/>
          </w:tcPr>
          <w:p w14:paraId="69E69FC7" w14:textId="77777777" w:rsidR="00BC43BC" w:rsidRPr="007C3248" w:rsidRDefault="00BC43BC">
            <w:pPr>
              <w:rPr>
                <w:rFonts w:ascii="DeutscheBank" w:hAnsi="DeutscheBank" w:cs="Times New Roman"/>
                <w:b/>
                <w:bCs/>
              </w:rPr>
            </w:pPr>
            <w:r w:rsidRPr="007C3248">
              <w:rPr>
                <w:rFonts w:ascii="DeutscheBank" w:hAnsi="DeutscheBank" w:cs="Times New Roman"/>
                <w:b/>
                <w:bCs/>
              </w:rPr>
              <w:t>Invoicing Back</w:t>
            </w:r>
          </w:p>
        </w:tc>
        <w:tc>
          <w:tcPr>
            <w:tcW w:w="1670" w:type="dxa"/>
            <w:tcBorders>
              <w:top w:val="single" w:sz="4" w:space="0" w:color="auto"/>
              <w:left w:val="single" w:sz="4" w:space="0" w:color="auto"/>
              <w:bottom w:val="single" w:sz="4" w:space="0" w:color="auto"/>
              <w:right w:val="single" w:sz="4" w:space="0" w:color="auto"/>
            </w:tcBorders>
            <w:vAlign w:val="center"/>
            <w:hideMark/>
          </w:tcPr>
          <w:p w14:paraId="4F8C8C0E" w14:textId="77777777" w:rsidR="00BC43BC" w:rsidRPr="007C3248" w:rsidRDefault="00BC43BC">
            <w:pPr>
              <w:jc w:val="center"/>
              <w:rPr>
                <w:rFonts w:ascii="DeutscheBank" w:hAnsi="DeutscheBank" w:cs="Times New Roman"/>
              </w:rPr>
            </w:pPr>
            <w:r w:rsidRPr="007C3248">
              <w:rPr>
                <w:rFonts w:ascii="DeutscheBank" w:hAnsi="DeutscheBank" w:cs="Times New Roman"/>
              </w:rPr>
              <w:t>x*</w:t>
            </w:r>
          </w:p>
        </w:tc>
        <w:tc>
          <w:tcPr>
            <w:tcW w:w="2371" w:type="dxa"/>
            <w:tcBorders>
              <w:top w:val="single" w:sz="4" w:space="0" w:color="auto"/>
              <w:left w:val="single" w:sz="4" w:space="0" w:color="auto"/>
              <w:bottom w:val="single" w:sz="4" w:space="0" w:color="auto"/>
              <w:right w:val="single" w:sz="4" w:space="0" w:color="auto"/>
            </w:tcBorders>
            <w:vAlign w:val="center"/>
            <w:hideMark/>
          </w:tcPr>
          <w:p w14:paraId="5DE5CB1A" w14:textId="77777777" w:rsidR="00BC43BC" w:rsidRPr="007C3248" w:rsidRDefault="00BC43BC">
            <w:pPr>
              <w:jc w:val="center"/>
              <w:rPr>
                <w:rFonts w:ascii="DeutscheBank" w:hAnsi="DeutscheBank" w:cs="Times New Roman"/>
              </w:rPr>
            </w:pPr>
            <w:r w:rsidRPr="007C3248">
              <w:rPr>
                <w:rFonts w:ascii="DeutscheBank" w:hAnsi="DeutscheBank" w:cs="Times New Roman"/>
              </w:rPr>
              <w:t>n/a</w:t>
            </w:r>
          </w:p>
        </w:tc>
        <w:tc>
          <w:tcPr>
            <w:tcW w:w="3197" w:type="dxa"/>
            <w:tcBorders>
              <w:top w:val="single" w:sz="4" w:space="0" w:color="auto"/>
              <w:left w:val="single" w:sz="4" w:space="0" w:color="auto"/>
              <w:bottom w:val="single" w:sz="4" w:space="0" w:color="auto"/>
              <w:right w:val="single" w:sz="4" w:space="0" w:color="auto"/>
            </w:tcBorders>
            <w:vAlign w:val="center"/>
            <w:hideMark/>
          </w:tcPr>
          <w:p w14:paraId="53AD925D" w14:textId="77777777" w:rsidR="00BC43BC" w:rsidRPr="007C3248" w:rsidRDefault="00BC43BC">
            <w:pPr>
              <w:jc w:val="center"/>
              <w:rPr>
                <w:rFonts w:ascii="DeutscheBank" w:hAnsi="DeutscheBank" w:cs="Times New Roman"/>
              </w:rPr>
            </w:pPr>
            <w:r w:rsidRPr="007C3248">
              <w:rPr>
                <w:rFonts w:ascii="DeutscheBank" w:hAnsi="DeutscheBank" w:cs="Times New Roman"/>
              </w:rPr>
              <w:t>n/a</w:t>
            </w:r>
          </w:p>
        </w:tc>
      </w:tr>
      <w:tr w:rsidR="00BC43BC" w:rsidRPr="007C3248" w14:paraId="06D2B366" w14:textId="77777777" w:rsidTr="00BC43BC">
        <w:trPr>
          <w:trHeight w:val="710"/>
        </w:trPr>
        <w:tc>
          <w:tcPr>
            <w:tcW w:w="1688" w:type="dxa"/>
            <w:tcBorders>
              <w:top w:val="single" w:sz="4" w:space="0" w:color="auto"/>
              <w:left w:val="single" w:sz="4" w:space="0" w:color="auto"/>
              <w:bottom w:val="single" w:sz="4" w:space="0" w:color="auto"/>
              <w:right w:val="single" w:sz="4" w:space="0" w:color="auto"/>
            </w:tcBorders>
            <w:vAlign w:val="center"/>
            <w:hideMark/>
          </w:tcPr>
          <w:p w14:paraId="1956618D" w14:textId="77777777" w:rsidR="00BC43BC" w:rsidRPr="007C3248" w:rsidRDefault="00BC43BC">
            <w:pPr>
              <w:rPr>
                <w:rFonts w:ascii="DeutscheBank" w:hAnsi="DeutscheBank" w:cs="Times New Roman"/>
                <w:b/>
                <w:bCs/>
              </w:rPr>
            </w:pPr>
            <w:r w:rsidRPr="007C3248">
              <w:rPr>
                <w:rFonts w:ascii="DeutscheBank" w:hAnsi="DeutscheBank" w:cs="Times New Roman"/>
                <w:b/>
                <w:bCs/>
              </w:rPr>
              <w:t>Variation Margin Gains Haircutting (VMGH)</w:t>
            </w:r>
          </w:p>
        </w:tc>
        <w:tc>
          <w:tcPr>
            <w:tcW w:w="1670" w:type="dxa"/>
            <w:tcBorders>
              <w:top w:val="single" w:sz="4" w:space="0" w:color="auto"/>
              <w:left w:val="single" w:sz="4" w:space="0" w:color="auto"/>
              <w:bottom w:val="single" w:sz="4" w:space="0" w:color="auto"/>
              <w:right w:val="single" w:sz="4" w:space="0" w:color="auto"/>
            </w:tcBorders>
            <w:vAlign w:val="center"/>
            <w:hideMark/>
          </w:tcPr>
          <w:p w14:paraId="21E91466" w14:textId="77777777" w:rsidR="00BC43BC" w:rsidRPr="007C3248" w:rsidRDefault="00BC43BC">
            <w:pPr>
              <w:jc w:val="center"/>
              <w:rPr>
                <w:rFonts w:ascii="DeutscheBank" w:hAnsi="DeutscheBank" w:cs="Times New Roman"/>
              </w:rPr>
            </w:pPr>
            <w:r w:rsidRPr="007C3248">
              <w:rPr>
                <w:rFonts w:ascii="DeutscheBank" w:hAnsi="DeutscheBank" w:cs="Times New Roman"/>
              </w:rPr>
              <w:t>x*</w:t>
            </w:r>
          </w:p>
        </w:tc>
        <w:tc>
          <w:tcPr>
            <w:tcW w:w="2371" w:type="dxa"/>
            <w:tcBorders>
              <w:top w:val="single" w:sz="4" w:space="0" w:color="auto"/>
              <w:left w:val="single" w:sz="4" w:space="0" w:color="auto"/>
              <w:bottom w:val="single" w:sz="4" w:space="0" w:color="auto"/>
              <w:right w:val="single" w:sz="4" w:space="0" w:color="auto"/>
            </w:tcBorders>
            <w:vAlign w:val="center"/>
            <w:hideMark/>
          </w:tcPr>
          <w:p w14:paraId="05C04D0C" w14:textId="77777777" w:rsidR="00BC43BC" w:rsidRPr="007C3248" w:rsidRDefault="00BC43BC">
            <w:pPr>
              <w:jc w:val="center"/>
              <w:rPr>
                <w:rFonts w:ascii="DeutscheBank" w:hAnsi="DeutscheBank" w:cs="Times New Roman"/>
              </w:rPr>
            </w:pPr>
            <w:r w:rsidRPr="007C3248">
              <w:rPr>
                <w:rFonts w:ascii="DeutscheBank" w:hAnsi="DeutscheBank" w:cs="Times New Roman"/>
              </w:rPr>
              <w:t>n/a</w:t>
            </w:r>
          </w:p>
        </w:tc>
        <w:tc>
          <w:tcPr>
            <w:tcW w:w="3197" w:type="dxa"/>
            <w:tcBorders>
              <w:top w:val="single" w:sz="4" w:space="0" w:color="auto"/>
              <w:left w:val="single" w:sz="4" w:space="0" w:color="auto"/>
              <w:bottom w:val="single" w:sz="4" w:space="0" w:color="auto"/>
              <w:right w:val="single" w:sz="4" w:space="0" w:color="auto"/>
            </w:tcBorders>
            <w:vAlign w:val="center"/>
            <w:hideMark/>
          </w:tcPr>
          <w:p w14:paraId="3D587D7B" w14:textId="77777777" w:rsidR="00BC43BC" w:rsidRPr="007C3248" w:rsidRDefault="00BC43BC">
            <w:pPr>
              <w:jc w:val="center"/>
              <w:rPr>
                <w:rFonts w:ascii="DeutscheBank" w:hAnsi="DeutscheBank" w:cs="Times New Roman"/>
              </w:rPr>
            </w:pPr>
            <w:r w:rsidRPr="007C3248">
              <w:rPr>
                <w:rFonts w:ascii="DeutscheBank" w:hAnsi="DeutscheBank" w:cs="Times New Roman"/>
              </w:rPr>
              <w:t>n/a</w:t>
            </w:r>
          </w:p>
        </w:tc>
      </w:tr>
      <w:tr w:rsidR="00BC43BC" w:rsidRPr="007C3248" w14:paraId="2D23FDF4" w14:textId="77777777" w:rsidTr="00BC43BC">
        <w:trPr>
          <w:trHeight w:val="2216"/>
        </w:trPr>
        <w:tc>
          <w:tcPr>
            <w:tcW w:w="1688" w:type="dxa"/>
            <w:tcBorders>
              <w:top w:val="single" w:sz="4" w:space="0" w:color="auto"/>
              <w:left w:val="single" w:sz="4" w:space="0" w:color="auto"/>
              <w:bottom w:val="single" w:sz="4" w:space="0" w:color="auto"/>
              <w:right w:val="single" w:sz="4" w:space="0" w:color="auto"/>
            </w:tcBorders>
            <w:vAlign w:val="center"/>
            <w:hideMark/>
          </w:tcPr>
          <w:p w14:paraId="0E480232" w14:textId="77777777" w:rsidR="00BC43BC" w:rsidRPr="007C3248" w:rsidRDefault="00BC43BC">
            <w:pPr>
              <w:rPr>
                <w:rFonts w:ascii="DeutscheBank" w:hAnsi="DeutscheBank" w:cs="Times New Roman"/>
                <w:b/>
                <w:bCs/>
              </w:rPr>
            </w:pPr>
            <w:r w:rsidRPr="007C3248">
              <w:rPr>
                <w:rFonts w:ascii="DeutscheBank" w:hAnsi="DeutscheBank" w:cs="Times New Roman"/>
                <w:b/>
                <w:bCs/>
              </w:rPr>
              <w:t>Changes to Margin Criteria</w:t>
            </w:r>
          </w:p>
        </w:tc>
        <w:tc>
          <w:tcPr>
            <w:tcW w:w="1670" w:type="dxa"/>
            <w:tcBorders>
              <w:top w:val="single" w:sz="4" w:space="0" w:color="auto"/>
              <w:left w:val="single" w:sz="4" w:space="0" w:color="auto"/>
              <w:bottom w:val="single" w:sz="4" w:space="0" w:color="auto"/>
              <w:right w:val="single" w:sz="4" w:space="0" w:color="auto"/>
            </w:tcBorders>
            <w:vAlign w:val="center"/>
            <w:hideMark/>
          </w:tcPr>
          <w:p w14:paraId="7B88FA79" w14:textId="77777777" w:rsidR="00BC43BC" w:rsidRPr="007C3248" w:rsidRDefault="00BC43BC">
            <w:pPr>
              <w:jc w:val="center"/>
              <w:rPr>
                <w:rFonts w:ascii="DeutscheBank" w:hAnsi="DeutscheBank" w:cs="Times New Roman"/>
                <w:b/>
                <w:bCs/>
              </w:rPr>
            </w:pPr>
            <w:r w:rsidRPr="007C3248">
              <w:rPr>
                <w:rFonts w:ascii="Segoe UI Symbol" w:hAnsi="Segoe UI Symbol" w:cs="Segoe UI Symbol"/>
                <w:b/>
                <w:bCs/>
              </w:rPr>
              <w:t>✓</w:t>
            </w:r>
          </w:p>
        </w:tc>
        <w:tc>
          <w:tcPr>
            <w:tcW w:w="2371" w:type="dxa"/>
            <w:tcBorders>
              <w:top w:val="single" w:sz="4" w:space="0" w:color="auto"/>
              <w:left w:val="single" w:sz="4" w:space="0" w:color="auto"/>
              <w:bottom w:val="single" w:sz="4" w:space="0" w:color="auto"/>
              <w:right w:val="single" w:sz="4" w:space="0" w:color="auto"/>
            </w:tcBorders>
            <w:hideMark/>
          </w:tcPr>
          <w:p w14:paraId="50FDEAA5" w14:textId="77777777" w:rsidR="00BC43BC" w:rsidRPr="007C3248" w:rsidRDefault="00BC43BC">
            <w:pPr>
              <w:rPr>
                <w:rFonts w:ascii="DeutscheBank" w:hAnsi="DeutscheBank" w:cs="Times New Roman"/>
              </w:rPr>
            </w:pPr>
            <w:r w:rsidRPr="007C3248">
              <w:rPr>
                <w:rFonts w:ascii="DeutscheBank" w:hAnsi="DeutscheBank" w:cs="Times New Roman"/>
              </w:rPr>
              <w:t>CPMI-IOSCO Self-Assessment 2020 (</w:t>
            </w:r>
            <w:r w:rsidRPr="007C3248">
              <w:rPr>
                <w:rFonts w:ascii="DeutscheBank" w:hAnsi="DeutscheBank" w:cs="Times New Roman"/>
                <w:i/>
                <w:iCs/>
              </w:rPr>
              <w:t>Q6.7.2</w:t>
            </w:r>
            <w:r w:rsidRPr="007C3248">
              <w:rPr>
                <w:rFonts w:ascii="DeutscheBank" w:hAnsi="DeutscheBank" w:cs="Times New Roman"/>
              </w:rPr>
              <w:t>); Articles 2(5) and 29(4) of the Rulebook; and Financial Derivatives General Conditions, Circular C GEN 12/2022 (</w:t>
            </w:r>
            <w:r w:rsidRPr="007C3248">
              <w:rPr>
                <w:rFonts w:ascii="DeutscheBank" w:hAnsi="DeutscheBank" w:cs="Times New Roman"/>
                <w:i/>
                <w:iCs/>
              </w:rPr>
              <w:t xml:space="preserve">Valuation of </w:t>
            </w:r>
            <w:r w:rsidRPr="007C3248">
              <w:rPr>
                <w:rFonts w:ascii="DeutscheBank" w:hAnsi="DeutscheBank" w:cs="Times New Roman"/>
                <w:i/>
                <w:iCs/>
              </w:rPr>
              <w:lastRenderedPageBreak/>
              <w:t>Securities posted as Margins</w:t>
            </w:r>
            <w:r w:rsidRPr="007C3248">
              <w:rPr>
                <w:rFonts w:ascii="DeutscheBank" w:hAnsi="DeutscheBank" w:cs="Times New Roman"/>
              </w:rPr>
              <w:t>).</w:t>
            </w:r>
          </w:p>
        </w:tc>
        <w:tc>
          <w:tcPr>
            <w:tcW w:w="3197" w:type="dxa"/>
            <w:tcBorders>
              <w:top w:val="single" w:sz="4" w:space="0" w:color="auto"/>
              <w:left w:val="single" w:sz="4" w:space="0" w:color="auto"/>
              <w:bottom w:val="single" w:sz="4" w:space="0" w:color="auto"/>
              <w:right w:val="single" w:sz="4" w:space="0" w:color="auto"/>
            </w:tcBorders>
            <w:vAlign w:val="center"/>
          </w:tcPr>
          <w:p w14:paraId="381F8AFE" w14:textId="77777777" w:rsidR="00BC43BC" w:rsidRPr="007C3248" w:rsidRDefault="00BC43BC" w:rsidP="00BC43BC">
            <w:pPr>
              <w:pStyle w:val="ListParagraph"/>
              <w:numPr>
                <w:ilvl w:val="0"/>
                <w:numId w:val="32"/>
              </w:numPr>
              <w:spacing w:after="0" w:line="240" w:lineRule="auto"/>
              <w:jc w:val="center"/>
              <w:rPr>
                <w:rFonts w:ascii="DeutscheBank" w:hAnsi="DeutscheBank" w:cs="Times New Roman"/>
              </w:rPr>
            </w:pPr>
          </w:p>
        </w:tc>
      </w:tr>
      <w:tr w:rsidR="00BC43BC" w:rsidRPr="007C3248" w14:paraId="45D71289" w14:textId="77777777" w:rsidTr="00BC43BC">
        <w:trPr>
          <w:trHeight w:val="969"/>
        </w:trPr>
        <w:tc>
          <w:tcPr>
            <w:tcW w:w="1688" w:type="dxa"/>
            <w:tcBorders>
              <w:top w:val="single" w:sz="4" w:space="0" w:color="auto"/>
              <w:left w:val="single" w:sz="4" w:space="0" w:color="auto"/>
              <w:bottom w:val="single" w:sz="4" w:space="0" w:color="auto"/>
              <w:right w:val="single" w:sz="4" w:space="0" w:color="auto"/>
            </w:tcBorders>
            <w:vAlign w:val="center"/>
            <w:hideMark/>
          </w:tcPr>
          <w:p w14:paraId="58D23EA6" w14:textId="77777777" w:rsidR="00BC43BC" w:rsidRPr="007C3248" w:rsidRDefault="00BC43BC">
            <w:pPr>
              <w:rPr>
                <w:rFonts w:ascii="DeutscheBank" w:hAnsi="DeutscheBank" w:cs="Times New Roman"/>
                <w:b/>
                <w:bCs/>
              </w:rPr>
            </w:pPr>
            <w:r w:rsidRPr="007C3248">
              <w:rPr>
                <w:rFonts w:ascii="DeutscheBank" w:hAnsi="DeutscheBank" w:cs="Times New Roman"/>
                <w:b/>
                <w:bCs/>
              </w:rPr>
              <w:t>Contingent Variation Margin</w:t>
            </w:r>
          </w:p>
        </w:tc>
        <w:tc>
          <w:tcPr>
            <w:tcW w:w="1670" w:type="dxa"/>
            <w:tcBorders>
              <w:top w:val="single" w:sz="4" w:space="0" w:color="auto"/>
              <w:left w:val="single" w:sz="4" w:space="0" w:color="auto"/>
              <w:bottom w:val="single" w:sz="4" w:space="0" w:color="auto"/>
              <w:right w:val="single" w:sz="4" w:space="0" w:color="auto"/>
            </w:tcBorders>
            <w:vAlign w:val="center"/>
            <w:hideMark/>
          </w:tcPr>
          <w:p w14:paraId="14BA4B50" w14:textId="77777777" w:rsidR="00BC43BC" w:rsidRPr="007C3248" w:rsidRDefault="00BC43BC">
            <w:pPr>
              <w:jc w:val="center"/>
              <w:rPr>
                <w:rFonts w:ascii="DeutscheBank" w:hAnsi="DeutscheBank" w:cs="Times New Roman"/>
              </w:rPr>
            </w:pPr>
            <w:r w:rsidRPr="007C3248">
              <w:rPr>
                <w:rFonts w:ascii="DeutscheBank" w:hAnsi="DeutscheBank" w:cs="Times New Roman"/>
              </w:rPr>
              <w:t>x*</w:t>
            </w:r>
          </w:p>
        </w:tc>
        <w:tc>
          <w:tcPr>
            <w:tcW w:w="2371" w:type="dxa"/>
            <w:tcBorders>
              <w:top w:val="single" w:sz="4" w:space="0" w:color="auto"/>
              <w:left w:val="single" w:sz="4" w:space="0" w:color="auto"/>
              <w:bottom w:val="single" w:sz="4" w:space="0" w:color="auto"/>
              <w:right w:val="single" w:sz="4" w:space="0" w:color="auto"/>
            </w:tcBorders>
            <w:vAlign w:val="center"/>
            <w:hideMark/>
          </w:tcPr>
          <w:p w14:paraId="49E7E9D8" w14:textId="77777777" w:rsidR="00BC43BC" w:rsidRPr="007C3248" w:rsidRDefault="00BC43BC">
            <w:pPr>
              <w:jc w:val="center"/>
              <w:rPr>
                <w:rFonts w:ascii="DeutscheBank" w:hAnsi="DeutscheBank" w:cs="Times New Roman"/>
              </w:rPr>
            </w:pPr>
            <w:r w:rsidRPr="007C3248">
              <w:rPr>
                <w:rFonts w:ascii="DeutscheBank" w:hAnsi="DeutscheBank" w:cs="Times New Roman"/>
              </w:rPr>
              <w:t>n/a</w:t>
            </w:r>
          </w:p>
        </w:tc>
        <w:tc>
          <w:tcPr>
            <w:tcW w:w="3197" w:type="dxa"/>
            <w:tcBorders>
              <w:top w:val="single" w:sz="4" w:space="0" w:color="auto"/>
              <w:left w:val="single" w:sz="4" w:space="0" w:color="auto"/>
              <w:bottom w:val="single" w:sz="4" w:space="0" w:color="auto"/>
              <w:right w:val="single" w:sz="4" w:space="0" w:color="auto"/>
            </w:tcBorders>
            <w:vAlign w:val="center"/>
            <w:hideMark/>
          </w:tcPr>
          <w:p w14:paraId="6102DCA2" w14:textId="77777777" w:rsidR="00BC43BC" w:rsidRPr="007C3248" w:rsidRDefault="00BC43BC">
            <w:pPr>
              <w:jc w:val="center"/>
              <w:rPr>
                <w:rFonts w:ascii="DeutscheBank" w:hAnsi="DeutscheBank" w:cs="Times New Roman"/>
              </w:rPr>
            </w:pPr>
            <w:r w:rsidRPr="007C3248">
              <w:rPr>
                <w:rFonts w:ascii="DeutscheBank" w:hAnsi="DeutscheBank" w:cs="Times New Roman"/>
              </w:rPr>
              <w:t>n/a</w:t>
            </w:r>
          </w:p>
        </w:tc>
      </w:tr>
      <w:tr w:rsidR="00BC43BC" w:rsidRPr="007C3248" w14:paraId="1340D364" w14:textId="77777777" w:rsidTr="00BC43BC">
        <w:trPr>
          <w:trHeight w:val="544"/>
        </w:trPr>
        <w:tc>
          <w:tcPr>
            <w:tcW w:w="1688" w:type="dxa"/>
            <w:tcBorders>
              <w:top w:val="single" w:sz="4" w:space="0" w:color="auto"/>
              <w:left w:val="single" w:sz="4" w:space="0" w:color="auto"/>
              <w:bottom w:val="single" w:sz="4" w:space="0" w:color="auto"/>
              <w:right w:val="single" w:sz="4" w:space="0" w:color="auto"/>
            </w:tcBorders>
            <w:vAlign w:val="center"/>
            <w:hideMark/>
          </w:tcPr>
          <w:p w14:paraId="66EEE9E2" w14:textId="77777777" w:rsidR="00BC43BC" w:rsidRPr="007C3248" w:rsidRDefault="00BC43BC">
            <w:pPr>
              <w:rPr>
                <w:rFonts w:ascii="DeutscheBank" w:hAnsi="DeutscheBank" w:cs="Times New Roman"/>
              </w:rPr>
            </w:pPr>
            <w:r w:rsidRPr="007C3248">
              <w:rPr>
                <w:rFonts w:ascii="DeutscheBank" w:hAnsi="DeutscheBank" w:cs="Times New Roman"/>
                <w:b/>
                <w:bCs/>
              </w:rPr>
              <w:t>Emergency Powers</w:t>
            </w:r>
          </w:p>
        </w:tc>
        <w:tc>
          <w:tcPr>
            <w:tcW w:w="1670" w:type="dxa"/>
            <w:tcBorders>
              <w:top w:val="single" w:sz="4" w:space="0" w:color="auto"/>
              <w:left w:val="single" w:sz="4" w:space="0" w:color="auto"/>
              <w:bottom w:val="single" w:sz="4" w:space="0" w:color="auto"/>
              <w:right w:val="single" w:sz="4" w:space="0" w:color="auto"/>
            </w:tcBorders>
            <w:vAlign w:val="center"/>
            <w:hideMark/>
          </w:tcPr>
          <w:p w14:paraId="768F7451" w14:textId="77777777" w:rsidR="00BC43BC" w:rsidRPr="007C3248" w:rsidRDefault="00BC43BC">
            <w:pPr>
              <w:jc w:val="center"/>
              <w:rPr>
                <w:rFonts w:ascii="DeutscheBank" w:hAnsi="DeutscheBank" w:cs="Times New Roman"/>
              </w:rPr>
            </w:pPr>
            <w:r w:rsidRPr="007C3248">
              <w:rPr>
                <w:rFonts w:ascii="Segoe UI Symbol" w:hAnsi="Segoe UI Symbol" w:cs="Segoe UI Symbol"/>
                <w:b/>
                <w:bCs/>
              </w:rPr>
              <w:t>✓</w:t>
            </w:r>
          </w:p>
        </w:tc>
        <w:tc>
          <w:tcPr>
            <w:tcW w:w="2371" w:type="dxa"/>
            <w:tcBorders>
              <w:top w:val="single" w:sz="4" w:space="0" w:color="auto"/>
              <w:left w:val="single" w:sz="4" w:space="0" w:color="auto"/>
              <w:bottom w:val="single" w:sz="4" w:space="0" w:color="auto"/>
              <w:right w:val="single" w:sz="4" w:space="0" w:color="auto"/>
            </w:tcBorders>
            <w:vAlign w:val="center"/>
            <w:hideMark/>
          </w:tcPr>
          <w:p w14:paraId="786E32DF" w14:textId="77777777" w:rsidR="00BC43BC" w:rsidRPr="007C3248" w:rsidRDefault="00BC43BC">
            <w:pPr>
              <w:rPr>
                <w:rFonts w:ascii="DeutscheBank" w:hAnsi="DeutscheBank" w:cs="Times New Roman"/>
              </w:rPr>
            </w:pPr>
            <w:r w:rsidRPr="007C3248">
              <w:rPr>
                <w:rFonts w:ascii="DeutscheBank" w:hAnsi="DeutscheBank" w:cs="Times New Roman"/>
              </w:rPr>
              <w:t>Article 2(5) of the Rulebook</w:t>
            </w:r>
          </w:p>
        </w:tc>
        <w:tc>
          <w:tcPr>
            <w:tcW w:w="3197" w:type="dxa"/>
            <w:tcBorders>
              <w:top w:val="single" w:sz="4" w:space="0" w:color="auto"/>
              <w:left w:val="single" w:sz="4" w:space="0" w:color="auto"/>
              <w:bottom w:val="single" w:sz="4" w:space="0" w:color="auto"/>
              <w:right w:val="single" w:sz="4" w:space="0" w:color="auto"/>
            </w:tcBorders>
            <w:vAlign w:val="center"/>
            <w:hideMark/>
          </w:tcPr>
          <w:p w14:paraId="36A28122" w14:textId="4B6325EC" w:rsidR="00BC43BC" w:rsidRPr="007C3248" w:rsidRDefault="00BC43BC">
            <w:pPr>
              <w:rPr>
                <w:rFonts w:ascii="DeutscheBank" w:hAnsi="DeutscheBank" w:cs="Times New Roman"/>
              </w:rPr>
            </w:pPr>
            <w:r w:rsidRPr="007C3248">
              <w:rPr>
                <w:rFonts w:ascii="DeutscheBank" w:hAnsi="DeutscheBank" w:cs="Times New Roman"/>
              </w:rPr>
              <w:t>In</w:t>
            </w:r>
            <w:r w:rsidR="00CE445F">
              <w:rPr>
                <w:rFonts w:ascii="DeutscheBank" w:hAnsi="DeutscheBank" w:cs="Times New Roman"/>
              </w:rPr>
              <w:t xml:space="preserve"> </w:t>
            </w:r>
            <w:r w:rsidRPr="007C3248">
              <w:rPr>
                <w:rFonts w:ascii="DeutscheBank" w:hAnsi="DeutscheBank" w:cs="Times New Roman"/>
              </w:rPr>
              <w:t>an emergency situation, BME has broad powers to amend its rules without notice. This means that BME could in practice adopt any of the measures outlined above which are not specifically provided for explicitly in the Rulebook.</w:t>
            </w:r>
          </w:p>
        </w:tc>
      </w:tr>
      <w:tr w:rsidR="00BC43BC" w:rsidRPr="007C3248" w14:paraId="63306420" w14:textId="77777777" w:rsidTr="00BC43BC">
        <w:trPr>
          <w:trHeight w:val="621"/>
        </w:trPr>
        <w:tc>
          <w:tcPr>
            <w:tcW w:w="1688" w:type="dxa"/>
            <w:tcBorders>
              <w:top w:val="single" w:sz="4" w:space="0" w:color="auto"/>
              <w:left w:val="single" w:sz="4" w:space="0" w:color="auto"/>
              <w:bottom w:val="single" w:sz="4" w:space="0" w:color="auto"/>
              <w:right w:val="single" w:sz="4" w:space="0" w:color="auto"/>
            </w:tcBorders>
            <w:vAlign w:val="center"/>
            <w:hideMark/>
          </w:tcPr>
          <w:p w14:paraId="38FA553B" w14:textId="77777777" w:rsidR="00BC43BC" w:rsidRPr="007C3248" w:rsidRDefault="00BC43BC">
            <w:pPr>
              <w:rPr>
                <w:rFonts w:ascii="DeutscheBank" w:hAnsi="DeutscheBank" w:cs="Times New Roman"/>
                <w:b/>
                <w:bCs/>
              </w:rPr>
            </w:pPr>
            <w:r w:rsidRPr="007C3248">
              <w:rPr>
                <w:rFonts w:ascii="DeutscheBank" w:hAnsi="DeutscheBank" w:cs="Times New Roman"/>
                <w:b/>
                <w:bCs/>
              </w:rPr>
              <w:t>Service Closure</w:t>
            </w:r>
          </w:p>
        </w:tc>
        <w:tc>
          <w:tcPr>
            <w:tcW w:w="1670" w:type="dxa"/>
            <w:tcBorders>
              <w:top w:val="single" w:sz="4" w:space="0" w:color="auto"/>
              <w:left w:val="single" w:sz="4" w:space="0" w:color="auto"/>
              <w:bottom w:val="single" w:sz="4" w:space="0" w:color="auto"/>
              <w:right w:val="single" w:sz="4" w:space="0" w:color="auto"/>
            </w:tcBorders>
            <w:vAlign w:val="center"/>
            <w:hideMark/>
          </w:tcPr>
          <w:p w14:paraId="76A49138" w14:textId="77777777" w:rsidR="00BC43BC" w:rsidRPr="007C3248" w:rsidRDefault="00BC43BC">
            <w:pPr>
              <w:jc w:val="center"/>
              <w:rPr>
                <w:rFonts w:ascii="DeutscheBank" w:hAnsi="DeutscheBank" w:cs="Times New Roman"/>
              </w:rPr>
            </w:pPr>
            <w:r w:rsidRPr="007C3248">
              <w:rPr>
                <w:rFonts w:ascii="Segoe UI Symbol" w:hAnsi="Segoe UI Symbol" w:cs="Segoe UI Symbol"/>
                <w:b/>
                <w:bCs/>
              </w:rPr>
              <w:t>✓</w:t>
            </w:r>
            <w:r w:rsidRPr="007C3248">
              <w:rPr>
                <w:rFonts w:ascii="DeutscheBank" w:hAnsi="DeutscheBank" w:cs="Times New Roman"/>
              </w:rPr>
              <w:t xml:space="preserve"> </w:t>
            </w:r>
          </w:p>
        </w:tc>
        <w:tc>
          <w:tcPr>
            <w:tcW w:w="2371" w:type="dxa"/>
            <w:tcBorders>
              <w:top w:val="single" w:sz="4" w:space="0" w:color="auto"/>
              <w:left w:val="single" w:sz="4" w:space="0" w:color="auto"/>
              <w:bottom w:val="single" w:sz="4" w:space="0" w:color="auto"/>
              <w:right w:val="single" w:sz="4" w:space="0" w:color="auto"/>
            </w:tcBorders>
            <w:vAlign w:val="center"/>
            <w:hideMark/>
          </w:tcPr>
          <w:p w14:paraId="22641AEA" w14:textId="77777777" w:rsidR="00BC43BC" w:rsidRPr="007C3248" w:rsidRDefault="00BC43BC">
            <w:pPr>
              <w:rPr>
                <w:rFonts w:ascii="DeutscheBank" w:hAnsi="DeutscheBank" w:cs="Times New Roman"/>
              </w:rPr>
            </w:pPr>
            <w:r w:rsidRPr="007C3248">
              <w:rPr>
                <w:rFonts w:ascii="DeutscheBank" w:hAnsi="DeutscheBank" w:cs="Times New Roman"/>
              </w:rPr>
              <w:t>Article 45.8(C)(10) of the Rulebook</w:t>
            </w:r>
          </w:p>
        </w:tc>
        <w:tc>
          <w:tcPr>
            <w:tcW w:w="3197" w:type="dxa"/>
            <w:tcBorders>
              <w:top w:val="single" w:sz="4" w:space="0" w:color="auto"/>
              <w:left w:val="single" w:sz="4" w:space="0" w:color="auto"/>
              <w:bottom w:val="single" w:sz="4" w:space="0" w:color="auto"/>
              <w:right w:val="single" w:sz="4" w:space="0" w:color="auto"/>
            </w:tcBorders>
            <w:vAlign w:val="center"/>
          </w:tcPr>
          <w:p w14:paraId="7569495D" w14:textId="77777777" w:rsidR="00BC43BC" w:rsidRPr="007C3248" w:rsidRDefault="00BC43BC" w:rsidP="00BC43BC">
            <w:pPr>
              <w:pStyle w:val="ListParagraph"/>
              <w:numPr>
                <w:ilvl w:val="0"/>
                <w:numId w:val="32"/>
              </w:numPr>
              <w:spacing w:after="0" w:line="240" w:lineRule="auto"/>
              <w:jc w:val="center"/>
              <w:rPr>
                <w:rFonts w:ascii="DeutscheBank" w:hAnsi="DeutscheBank" w:cs="Times New Roman"/>
              </w:rPr>
            </w:pPr>
          </w:p>
        </w:tc>
      </w:tr>
    </w:tbl>
    <w:p w14:paraId="527E1CD4" w14:textId="77777777" w:rsidR="00BC43BC" w:rsidRPr="007C3248" w:rsidRDefault="00BC43BC" w:rsidP="00BC43BC">
      <w:pPr>
        <w:pStyle w:val="Body1"/>
        <w:ind w:left="0"/>
        <w:rPr>
          <w:rFonts w:ascii="DeutscheBank" w:hAnsi="DeutscheBank"/>
          <w:b/>
          <w:bCs/>
          <w:sz w:val="24"/>
          <w:szCs w:val="24"/>
        </w:rPr>
      </w:pPr>
    </w:p>
    <w:p w14:paraId="59D8B3B2" w14:textId="440A6524" w:rsidR="00004219" w:rsidRPr="007C3248" w:rsidRDefault="00004219">
      <w:pPr>
        <w:spacing w:after="0" w:line="240" w:lineRule="auto"/>
        <w:jc w:val="left"/>
        <w:rPr>
          <w:rFonts w:ascii="DeutscheBank" w:hAnsi="DeutscheBank"/>
        </w:rPr>
      </w:pPr>
      <w:r w:rsidRPr="007C3248">
        <w:rPr>
          <w:rFonts w:ascii="DeutscheBank" w:hAnsi="DeutscheBank"/>
        </w:rPr>
        <w:br w:type="page"/>
      </w:r>
    </w:p>
    <w:p w14:paraId="042BE83C" w14:textId="4AD34B62" w:rsidR="00004219" w:rsidRPr="007C3248" w:rsidRDefault="00004219" w:rsidP="00004219">
      <w:pPr>
        <w:pStyle w:val="Body1"/>
        <w:ind w:left="0"/>
        <w:jc w:val="center"/>
        <w:rPr>
          <w:rFonts w:ascii="DeutscheBank" w:hAnsi="DeutscheBank"/>
          <w:sz w:val="24"/>
          <w:szCs w:val="24"/>
        </w:rPr>
      </w:pPr>
      <w:r w:rsidRPr="007C3248">
        <w:rPr>
          <w:rFonts w:ascii="DeutscheBank" w:hAnsi="DeutscheBank"/>
          <w:b/>
          <w:bCs/>
          <w:sz w:val="24"/>
          <w:szCs w:val="24"/>
        </w:rPr>
        <w:lastRenderedPageBreak/>
        <w:t>Appendix 2 – Euronext Clearing</w:t>
      </w:r>
    </w:p>
    <w:p w14:paraId="376AF1B9" w14:textId="77777777" w:rsidR="00004219" w:rsidRPr="007C3248" w:rsidRDefault="00004219" w:rsidP="00004219">
      <w:pPr>
        <w:pStyle w:val="Body"/>
        <w:jc w:val="left"/>
        <w:rPr>
          <w:rFonts w:ascii="DeutscheBank" w:hAnsi="DeutscheBank"/>
          <w:i/>
          <w:iCs/>
          <w:sz w:val="24"/>
          <w:szCs w:val="24"/>
        </w:rPr>
      </w:pPr>
    </w:p>
    <w:p w14:paraId="3FC1F1A7" w14:textId="2F53A843" w:rsidR="00004219" w:rsidRPr="007C3248" w:rsidRDefault="00004219" w:rsidP="00004219">
      <w:pPr>
        <w:pStyle w:val="Body"/>
        <w:jc w:val="left"/>
        <w:rPr>
          <w:rFonts w:ascii="DeutscheBank" w:hAnsi="DeutscheBank"/>
          <w:sz w:val="24"/>
          <w:szCs w:val="24"/>
        </w:rPr>
      </w:pPr>
      <w:r w:rsidRPr="007C3248">
        <w:rPr>
          <w:rFonts w:ascii="DeutscheBank" w:hAnsi="DeutscheBank"/>
          <w:sz w:val="24"/>
          <w:szCs w:val="24"/>
        </w:rPr>
        <w:t>This Appendix sets out the recovery and default tools available to, or that may be applied to, Cassa di Compensazione e Garanzia S.p.A. (“</w:t>
      </w:r>
      <w:r w:rsidRPr="007C3248">
        <w:rPr>
          <w:rFonts w:ascii="DeutscheBank" w:hAnsi="DeutscheBank"/>
          <w:b/>
          <w:bCs/>
          <w:sz w:val="24"/>
          <w:szCs w:val="24"/>
        </w:rPr>
        <w:t>CC&amp;G</w:t>
      </w:r>
      <w:r w:rsidRPr="007C3248">
        <w:rPr>
          <w:rFonts w:ascii="DeutscheBank" w:hAnsi="DeutscheBank"/>
          <w:sz w:val="24"/>
          <w:szCs w:val="24"/>
        </w:rPr>
        <w:t>”), trading under the name Euronext Clearing, in a recovery and resolution scenario as set out in the Cassa di Compensazione e Garanzia Regulations dated 12 February 2023 (the “</w:t>
      </w:r>
      <w:r w:rsidRPr="007C3248">
        <w:rPr>
          <w:rFonts w:ascii="DeutscheBank" w:hAnsi="DeutscheBank"/>
          <w:b/>
          <w:bCs/>
          <w:sz w:val="24"/>
          <w:szCs w:val="24"/>
        </w:rPr>
        <w:t>Rulebook</w:t>
      </w:r>
      <w:r w:rsidRPr="007C3248">
        <w:rPr>
          <w:rFonts w:ascii="DeutscheBank" w:hAnsi="DeutscheBank"/>
          <w:sz w:val="24"/>
          <w:szCs w:val="24"/>
        </w:rPr>
        <w:t xml:space="preserve">”) and certain other documentation published by CC&amp;G referred to in this Appendix. </w:t>
      </w:r>
    </w:p>
    <w:tbl>
      <w:tblPr>
        <w:tblStyle w:val="TableGrid"/>
        <w:tblW w:w="8995" w:type="dxa"/>
        <w:tblLook w:val="04A0" w:firstRow="1" w:lastRow="0" w:firstColumn="1" w:lastColumn="0" w:noHBand="0" w:noVBand="1"/>
      </w:tblPr>
      <w:tblGrid>
        <w:gridCol w:w="1684"/>
        <w:gridCol w:w="1848"/>
        <w:gridCol w:w="2315"/>
        <w:gridCol w:w="3148"/>
      </w:tblGrid>
      <w:tr w:rsidR="00004219" w:rsidRPr="007C3248" w14:paraId="0BE7CBBE" w14:textId="77777777" w:rsidTr="00CE445F">
        <w:trPr>
          <w:trHeight w:val="651"/>
        </w:trPr>
        <w:tc>
          <w:tcPr>
            <w:tcW w:w="1684" w:type="dxa"/>
            <w:tcBorders>
              <w:top w:val="single" w:sz="4" w:space="0" w:color="auto"/>
              <w:left w:val="single" w:sz="4" w:space="0" w:color="auto"/>
              <w:bottom w:val="single" w:sz="4" w:space="0" w:color="auto"/>
              <w:right w:val="single" w:sz="4" w:space="0" w:color="auto"/>
            </w:tcBorders>
            <w:hideMark/>
          </w:tcPr>
          <w:p w14:paraId="0E607CB9"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Measure</w:t>
            </w:r>
          </w:p>
        </w:tc>
        <w:tc>
          <w:tcPr>
            <w:tcW w:w="1848" w:type="dxa"/>
            <w:tcBorders>
              <w:top w:val="single" w:sz="4" w:space="0" w:color="auto"/>
              <w:left w:val="single" w:sz="4" w:space="0" w:color="auto"/>
              <w:bottom w:val="single" w:sz="4" w:space="0" w:color="auto"/>
              <w:right w:val="single" w:sz="4" w:space="0" w:color="auto"/>
            </w:tcBorders>
            <w:hideMark/>
          </w:tcPr>
          <w:p w14:paraId="269D6BA6"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Contemplated in Rulebook</w:t>
            </w:r>
          </w:p>
        </w:tc>
        <w:tc>
          <w:tcPr>
            <w:tcW w:w="2315" w:type="dxa"/>
            <w:tcBorders>
              <w:top w:val="single" w:sz="4" w:space="0" w:color="auto"/>
              <w:left w:val="single" w:sz="4" w:space="0" w:color="auto"/>
              <w:bottom w:val="single" w:sz="4" w:space="0" w:color="auto"/>
              <w:right w:val="single" w:sz="4" w:space="0" w:color="auto"/>
            </w:tcBorders>
            <w:hideMark/>
          </w:tcPr>
          <w:p w14:paraId="003779C1" w14:textId="18DCD5A5" w:rsidR="00004219" w:rsidRPr="007C3248" w:rsidRDefault="00004219">
            <w:pPr>
              <w:jc w:val="center"/>
              <w:rPr>
                <w:rFonts w:ascii="DeutscheBank" w:hAnsi="DeutscheBank" w:cs="Times New Roman"/>
                <w:b/>
                <w:bCs/>
              </w:rPr>
            </w:pPr>
            <w:r w:rsidRPr="007C3248">
              <w:rPr>
                <w:rFonts w:ascii="DeutscheBank" w:hAnsi="DeutscheBank" w:cs="Times New Roman"/>
                <w:b/>
                <w:bCs/>
              </w:rPr>
              <w:t>Rulebook Reference</w:t>
            </w:r>
          </w:p>
        </w:tc>
        <w:tc>
          <w:tcPr>
            <w:tcW w:w="3148" w:type="dxa"/>
            <w:tcBorders>
              <w:top w:val="single" w:sz="4" w:space="0" w:color="auto"/>
              <w:left w:val="single" w:sz="4" w:space="0" w:color="auto"/>
              <w:bottom w:val="single" w:sz="4" w:space="0" w:color="auto"/>
              <w:right w:val="single" w:sz="4" w:space="0" w:color="auto"/>
            </w:tcBorders>
            <w:hideMark/>
          </w:tcPr>
          <w:p w14:paraId="6B46884C"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Additional Comments</w:t>
            </w:r>
          </w:p>
        </w:tc>
      </w:tr>
      <w:tr w:rsidR="00004219" w:rsidRPr="007C3248" w14:paraId="1FBC5D84" w14:textId="77777777" w:rsidTr="00CE445F">
        <w:trPr>
          <w:trHeight w:val="452"/>
        </w:trPr>
        <w:tc>
          <w:tcPr>
            <w:tcW w:w="1684" w:type="dxa"/>
            <w:tcBorders>
              <w:top w:val="single" w:sz="4" w:space="0" w:color="auto"/>
              <w:left w:val="single" w:sz="4" w:space="0" w:color="auto"/>
              <w:bottom w:val="single" w:sz="4" w:space="0" w:color="auto"/>
              <w:right w:val="single" w:sz="4" w:space="0" w:color="auto"/>
            </w:tcBorders>
            <w:vAlign w:val="center"/>
          </w:tcPr>
          <w:p w14:paraId="567FEAC0" w14:textId="77777777" w:rsidR="00004219" w:rsidRPr="007C3248" w:rsidRDefault="00004219">
            <w:pPr>
              <w:rPr>
                <w:rFonts w:ascii="DeutscheBank" w:hAnsi="DeutscheBank" w:cs="Times New Roman"/>
                <w:b/>
                <w:bCs/>
              </w:rPr>
            </w:pPr>
            <w:r w:rsidRPr="007C3248">
              <w:rPr>
                <w:rFonts w:ascii="DeutscheBank" w:hAnsi="DeutscheBank" w:cs="Times New Roman"/>
                <w:b/>
                <w:bCs/>
              </w:rPr>
              <w:t>Tear-up</w:t>
            </w:r>
          </w:p>
          <w:p w14:paraId="045DA078" w14:textId="77777777" w:rsidR="00004219" w:rsidRPr="007C3248" w:rsidRDefault="00004219">
            <w:pPr>
              <w:rPr>
                <w:rFonts w:ascii="DeutscheBank" w:hAnsi="DeutscheBank" w:cs="Times New Roman"/>
                <w:b/>
                <w:bCs/>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16E1D178"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x</w:t>
            </w:r>
          </w:p>
        </w:tc>
        <w:tc>
          <w:tcPr>
            <w:tcW w:w="2315" w:type="dxa"/>
            <w:tcBorders>
              <w:top w:val="single" w:sz="4" w:space="0" w:color="auto"/>
              <w:left w:val="single" w:sz="4" w:space="0" w:color="auto"/>
              <w:bottom w:val="single" w:sz="4" w:space="0" w:color="auto"/>
              <w:right w:val="single" w:sz="4" w:space="0" w:color="auto"/>
            </w:tcBorders>
            <w:vAlign w:val="center"/>
            <w:hideMark/>
          </w:tcPr>
          <w:p w14:paraId="702DB312" w14:textId="77777777" w:rsidR="00004219" w:rsidRPr="007C3248" w:rsidRDefault="00004219">
            <w:pPr>
              <w:jc w:val="center"/>
              <w:rPr>
                <w:rFonts w:ascii="DeutscheBank" w:hAnsi="DeutscheBank" w:cs="Times New Roman"/>
              </w:rPr>
            </w:pPr>
            <w:r w:rsidRPr="007C3248">
              <w:rPr>
                <w:rFonts w:ascii="DeutscheBank" w:hAnsi="DeutscheBank" w:cs="Times New Roman"/>
              </w:rPr>
              <w:t>n/a</w:t>
            </w:r>
          </w:p>
        </w:tc>
        <w:tc>
          <w:tcPr>
            <w:tcW w:w="3148" w:type="dxa"/>
            <w:tcBorders>
              <w:top w:val="single" w:sz="4" w:space="0" w:color="auto"/>
              <w:left w:val="single" w:sz="4" w:space="0" w:color="auto"/>
              <w:bottom w:val="single" w:sz="4" w:space="0" w:color="auto"/>
              <w:right w:val="single" w:sz="4" w:space="0" w:color="auto"/>
            </w:tcBorders>
            <w:vAlign w:val="center"/>
            <w:hideMark/>
          </w:tcPr>
          <w:p w14:paraId="243BA883" w14:textId="77777777" w:rsidR="00004219" w:rsidRPr="007C3248" w:rsidRDefault="00004219">
            <w:pPr>
              <w:jc w:val="center"/>
              <w:rPr>
                <w:rFonts w:ascii="DeutscheBank" w:hAnsi="DeutscheBank" w:cs="Times New Roman"/>
              </w:rPr>
            </w:pPr>
            <w:r w:rsidRPr="007C3248">
              <w:rPr>
                <w:rFonts w:ascii="DeutscheBank" w:hAnsi="DeutscheBank" w:cs="Times New Roman"/>
              </w:rPr>
              <w:t>n/a</w:t>
            </w:r>
          </w:p>
        </w:tc>
      </w:tr>
      <w:tr w:rsidR="00004219" w:rsidRPr="007C3248" w14:paraId="580A2B2E" w14:textId="77777777" w:rsidTr="00CE445F">
        <w:trPr>
          <w:trHeight w:val="341"/>
        </w:trPr>
        <w:tc>
          <w:tcPr>
            <w:tcW w:w="1684" w:type="dxa"/>
            <w:tcBorders>
              <w:top w:val="single" w:sz="4" w:space="0" w:color="auto"/>
              <w:left w:val="single" w:sz="4" w:space="0" w:color="auto"/>
              <w:bottom w:val="single" w:sz="4" w:space="0" w:color="auto"/>
              <w:right w:val="single" w:sz="4" w:space="0" w:color="auto"/>
            </w:tcBorders>
            <w:vAlign w:val="center"/>
            <w:hideMark/>
          </w:tcPr>
          <w:p w14:paraId="185C6613" w14:textId="77777777" w:rsidR="00004219" w:rsidRPr="007C3248" w:rsidRDefault="00004219">
            <w:pPr>
              <w:rPr>
                <w:rFonts w:ascii="DeutscheBank" w:hAnsi="DeutscheBank" w:cs="Times New Roman"/>
                <w:b/>
                <w:bCs/>
              </w:rPr>
            </w:pPr>
            <w:r w:rsidRPr="007C3248">
              <w:rPr>
                <w:rFonts w:ascii="DeutscheBank" w:hAnsi="DeutscheBank" w:cs="Times New Roman"/>
                <w:b/>
                <w:bCs/>
              </w:rPr>
              <w:t>Invoicing Back</w:t>
            </w:r>
          </w:p>
        </w:tc>
        <w:tc>
          <w:tcPr>
            <w:tcW w:w="1848" w:type="dxa"/>
            <w:tcBorders>
              <w:top w:val="single" w:sz="4" w:space="0" w:color="auto"/>
              <w:left w:val="single" w:sz="4" w:space="0" w:color="auto"/>
              <w:bottom w:val="single" w:sz="4" w:space="0" w:color="auto"/>
              <w:right w:val="single" w:sz="4" w:space="0" w:color="auto"/>
            </w:tcBorders>
            <w:vAlign w:val="center"/>
            <w:hideMark/>
          </w:tcPr>
          <w:p w14:paraId="2BC4A791"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x</w:t>
            </w:r>
          </w:p>
        </w:tc>
        <w:tc>
          <w:tcPr>
            <w:tcW w:w="2315" w:type="dxa"/>
            <w:tcBorders>
              <w:top w:val="single" w:sz="4" w:space="0" w:color="auto"/>
              <w:left w:val="single" w:sz="4" w:space="0" w:color="auto"/>
              <w:bottom w:val="single" w:sz="4" w:space="0" w:color="auto"/>
              <w:right w:val="single" w:sz="4" w:space="0" w:color="auto"/>
            </w:tcBorders>
            <w:vAlign w:val="center"/>
            <w:hideMark/>
          </w:tcPr>
          <w:p w14:paraId="325D3626" w14:textId="77777777" w:rsidR="00004219" w:rsidRPr="007C3248" w:rsidRDefault="00004219">
            <w:pPr>
              <w:jc w:val="center"/>
              <w:rPr>
                <w:rFonts w:ascii="DeutscheBank" w:hAnsi="DeutscheBank" w:cs="Times New Roman"/>
              </w:rPr>
            </w:pPr>
            <w:r w:rsidRPr="007C3248">
              <w:rPr>
                <w:rFonts w:ascii="DeutscheBank" w:hAnsi="DeutscheBank" w:cs="Times New Roman"/>
              </w:rPr>
              <w:t>n/a</w:t>
            </w:r>
          </w:p>
        </w:tc>
        <w:tc>
          <w:tcPr>
            <w:tcW w:w="3148" w:type="dxa"/>
            <w:tcBorders>
              <w:top w:val="single" w:sz="4" w:space="0" w:color="auto"/>
              <w:left w:val="single" w:sz="4" w:space="0" w:color="auto"/>
              <w:bottom w:val="single" w:sz="4" w:space="0" w:color="auto"/>
              <w:right w:val="single" w:sz="4" w:space="0" w:color="auto"/>
            </w:tcBorders>
            <w:vAlign w:val="center"/>
            <w:hideMark/>
          </w:tcPr>
          <w:p w14:paraId="3CF32CCB" w14:textId="77777777" w:rsidR="00004219" w:rsidRPr="007C3248" w:rsidRDefault="00004219">
            <w:pPr>
              <w:jc w:val="center"/>
              <w:rPr>
                <w:rFonts w:ascii="DeutscheBank" w:hAnsi="DeutscheBank" w:cs="Times New Roman"/>
              </w:rPr>
            </w:pPr>
            <w:r w:rsidRPr="007C3248">
              <w:rPr>
                <w:rFonts w:ascii="DeutscheBank" w:hAnsi="DeutscheBank" w:cs="Times New Roman"/>
              </w:rPr>
              <w:t>n/a</w:t>
            </w:r>
          </w:p>
        </w:tc>
      </w:tr>
      <w:tr w:rsidR="00004219" w:rsidRPr="007C3248" w14:paraId="742D290D" w14:textId="77777777" w:rsidTr="00CE445F">
        <w:trPr>
          <w:trHeight w:val="710"/>
        </w:trPr>
        <w:tc>
          <w:tcPr>
            <w:tcW w:w="1684" w:type="dxa"/>
            <w:tcBorders>
              <w:top w:val="single" w:sz="4" w:space="0" w:color="auto"/>
              <w:left w:val="single" w:sz="4" w:space="0" w:color="auto"/>
              <w:bottom w:val="single" w:sz="4" w:space="0" w:color="auto"/>
              <w:right w:val="single" w:sz="4" w:space="0" w:color="auto"/>
            </w:tcBorders>
            <w:vAlign w:val="center"/>
            <w:hideMark/>
          </w:tcPr>
          <w:p w14:paraId="73CEE1C9" w14:textId="77777777" w:rsidR="00004219" w:rsidRPr="007C3248" w:rsidRDefault="00004219">
            <w:pPr>
              <w:rPr>
                <w:rFonts w:ascii="DeutscheBank" w:hAnsi="DeutscheBank" w:cs="Times New Roman"/>
                <w:b/>
                <w:bCs/>
              </w:rPr>
            </w:pPr>
            <w:r w:rsidRPr="007C3248">
              <w:rPr>
                <w:rFonts w:ascii="DeutscheBank" w:hAnsi="DeutscheBank" w:cs="Times New Roman"/>
                <w:b/>
                <w:bCs/>
              </w:rPr>
              <w:t>Variation Margin Gains Haircutting (VMGH)</w:t>
            </w:r>
          </w:p>
        </w:tc>
        <w:tc>
          <w:tcPr>
            <w:tcW w:w="1848" w:type="dxa"/>
            <w:tcBorders>
              <w:top w:val="single" w:sz="4" w:space="0" w:color="auto"/>
              <w:left w:val="single" w:sz="4" w:space="0" w:color="auto"/>
              <w:bottom w:val="single" w:sz="4" w:space="0" w:color="auto"/>
              <w:right w:val="single" w:sz="4" w:space="0" w:color="auto"/>
            </w:tcBorders>
            <w:vAlign w:val="center"/>
            <w:hideMark/>
          </w:tcPr>
          <w:p w14:paraId="62B8C093" w14:textId="77777777" w:rsidR="00004219" w:rsidRPr="007C3248" w:rsidRDefault="00004219">
            <w:pPr>
              <w:jc w:val="center"/>
              <w:rPr>
                <w:rFonts w:ascii="DeutscheBank" w:hAnsi="DeutscheBank" w:cs="Times New Roman"/>
              </w:rPr>
            </w:pPr>
            <w:r w:rsidRPr="007C3248">
              <w:rPr>
                <w:rFonts w:ascii="Segoe UI Symbol" w:hAnsi="Segoe UI Symbol" w:cs="Segoe UI Symbol"/>
                <w:b/>
                <w:bCs/>
              </w:rPr>
              <w:t>✓</w:t>
            </w:r>
          </w:p>
        </w:tc>
        <w:tc>
          <w:tcPr>
            <w:tcW w:w="2315" w:type="dxa"/>
            <w:tcBorders>
              <w:top w:val="single" w:sz="4" w:space="0" w:color="auto"/>
              <w:left w:val="single" w:sz="4" w:space="0" w:color="auto"/>
              <w:bottom w:val="single" w:sz="4" w:space="0" w:color="auto"/>
              <w:right w:val="single" w:sz="4" w:space="0" w:color="auto"/>
            </w:tcBorders>
            <w:vAlign w:val="center"/>
            <w:hideMark/>
          </w:tcPr>
          <w:p w14:paraId="64C0A3A3" w14:textId="77777777" w:rsidR="00004219" w:rsidRPr="007C3248" w:rsidRDefault="00004219">
            <w:pPr>
              <w:rPr>
                <w:rFonts w:ascii="DeutscheBank" w:hAnsi="DeutscheBank" w:cs="Times New Roman"/>
              </w:rPr>
            </w:pPr>
            <w:r w:rsidRPr="007C3248">
              <w:rPr>
                <w:rFonts w:ascii="DeutscheBank" w:hAnsi="DeutscheBank" w:cs="Times New Roman"/>
              </w:rPr>
              <w:t>Article B.7.1.1(2)(iii) of the Rulebook.</w:t>
            </w:r>
          </w:p>
        </w:tc>
        <w:tc>
          <w:tcPr>
            <w:tcW w:w="3148" w:type="dxa"/>
            <w:tcBorders>
              <w:top w:val="single" w:sz="4" w:space="0" w:color="auto"/>
              <w:left w:val="single" w:sz="4" w:space="0" w:color="auto"/>
              <w:bottom w:val="single" w:sz="4" w:space="0" w:color="auto"/>
              <w:right w:val="single" w:sz="4" w:space="0" w:color="auto"/>
            </w:tcBorders>
            <w:vAlign w:val="center"/>
            <w:hideMark/>
          </w:tcPr>
          <w:p w14:paraId="4D52950E" w14:textId="77777777" w:rsidR="00004219" w:rsidRPr="007C3248" w:rsidRDefault="00004219">
            <w:pPr>
              <w:rPr>
                <w:rFonts w:ascii="DeutscheBank" w:hAnsi="DeutscheBank" w:cs="Times New Roman"/>
              </w:rPr>
            </w:pPr>
            <w:r w:rsidRPr="007C3248">
              <w:rPr>
                <w:rFonts w:ascii="DeutscheBank" w:hAnsi="DeutscheBank" w:cs="Times New Roman"/>
              </w:rPr>
              <w:t>This power is only available after CC&amp;G has determined to close a clearing service.</w:t>
            </w:r>
          </w:p>
        </w:tc>
      </w:tr>
      <w:tr w:rsidR="00004219" w:rsidRPr="007C3248" w14:paraId="71FF2692" w14:textId="77777777" w:rsidTr="00CE445F">
        <w:trPr>
          <w:trHeight w:val="1325"/>
        </w:trPr>
        <w:tc>
          <w:tcPr>
            <w:tcW w:w="1684" w:type="dxa"/>
            <w:tcBorders>
              <w:top w:val="single" w:sz="4" w:space="0" w:color="auto"/>
              <w:left w:val="single" w:sz="4" w:space="0" w:color="auto"/>
              <w:bottom w:val="single" w:sz="4" w:space="0" w:color="auto"/>
              <w:right w:val="single" w:sz="4" w:space="0" w:color="auto"/>
            </w:tcBorders>
            <w:vAlign w:val="center"/>
            <w:hideMark/>
          </w:tcPr>
          <w:p w14:paraId="6F6A15D1" w14:textId="77777777" w:rsidR="00004219" w:rsidRPr="007C3248" w:rsidRDefault="00004219">
            <w:pPr>
              <w:rPr>
                <w:rFonts w:ascii="DeutscheBank" w:hAnsi="DeutscheBank" w:cs="Times New Roman"/>
                <w:b/>
                <w:bCs/>
              </w:rPr>
            </w:pPr>
            <w:r w:rsidRPr="007C3248">
              <w:rPr>
                <w:rFonts w:ascii="DeutscheBank" w:hAnsi="DeutscheBank" w:cs="Times New Roman"/>
                <w:b/>
                <w:bCs/>
              </w:rPr>
              <w:t>Changes to Margin Criteria</w:t>
            </w:r>
          </w:p>
        </w:tc>
        <w:tc>
          <w:tcPr>
            <w:tcW w:w="1848" w:type="dxa"/>
            <w:tcBorders>
              <w:top w:val="single" w:sz="4" w:space="0" w:color="auto"/>
              <w:left w:val="single" w:sz="4" w:space="0" w:color="auto"/>
              <w:bottom w:val="single" w:sz="4" w:space="0" w:color="auto"/>
              <w:right w:val="single" w:sz="4" w:space="0" w:color="auto"/>
            </w:tcBorders>
            <w:vAlign w:val="center"/>
            <w:hideMark/>
          </w:tcPr>
          <w:p w14:paraId="53D3D90D" w14:textId="77777777" w:rsidR="00004219" w:rsidRPr="007C3248" w:rsidRDefault="00004219">
            <w:pPr>
              <w:jc w:val="center"/>
              <w:rPr>
                <w:rFonts w:ascii="DeutscheBank" w:hAnsi="DeutscheBank" w:cs="Times New Roman"/>
                <w:b/>
                <w:bCs/>
              </w:rPr>
            </w:pPr>
            <w:r w:rsidRPr="007C3248">
              <w:rPr>
                <w:rFonts w:ascii="Segoe UI Symbol" w:hAnsi="Segoe UI Symbol" w:cs="Segoe UI Symbol"/>
                <w:b/>
                <w:bCs/>
              </w:rPr>
              <w:t>✓</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13AB7BF" w14:textId="77777777" w:rsidR="00004219" w:rsidRPr="007C3248" w:rsidRDefault="00004219">
            <w:pPr>
              <w:rPr>
                <w:rFonts w:ascii="DeutscheBank" w:hAnsi="DeutscheBank" w:cs="Times New Roman"/>
              </w:rPr>
            </w:pPr>
            <w:r w:rsidRPr="007C3248">
              <w:rPr>
                <w:rFonts w:ascii="DeutscheBank" w:hAnsi="DeutscheBank" w:cs="Times New Roman"/>
              </w:rPr>
              <w:t>Articles B.4.1.3 and B.4.1.1.7 of the Rulebook and Condition 7.3 of General Conditions I.</w:t>
            </w:r>
          </w:p>
        </w:tc>
        <w:tc>
          <w:tcPr>
            <w:tcW w:w="3148" w:type="dxa"/>
            <w:tcBorders>
              <w:top w:val="single" w:sz="4" w:space="0" w:color="auto"/>
              <w:left w:val="single" w:sz="4" w:space="0" w:color="auto"/>
              <w:bottom w:val="single" w:sz="4" w:space="0" w:color="auto"/>
              <w:right w:val="single" w:sz="4" w:space="0" w:color="auto"/>
            </w:tcBorders>
            <w:vAlign w:val="center"/>
            <w:hideMark/>
          </w:tcPr>
          <w:p w14:paraId="44A7BCB4" w14:textId="77777777" w:rsidR="00004219" w:rsidRPr="007C3248" w:rsidRDefault="00004219">
            <w:pPr>
              <w:rPr>
                <w:rFonts w:ascii="DeutscheBank" w:hAnsi="DeutscheBank" w:cs="Times New Roman"/>
                <w:highlight w:val="green"/>
              </w:rPr>
            </w:pPr>
            <w:r w:rsidRPr="007C3248">
              <w:rPr>
                <w:rFonts w:ascii="DeutscheBank" w:hAnsi="DeutscheBank" w:cs="Times New Roman"/>
              </w:rPr>
              <w:t>Urgent changes to the margin criteria may be made on 5 calendar days’ notice.</w:t>
            </w:r>
          </w:p>
        </w:tc>
      </w:tr>
      <w:tr w:rsidR="00004219" w:rsidRPr="007C3248" w14:paraId="2727D71E" w14:textId="77777777" w:rsidTr="00CE445F">
        <w:trPr>
          <w:trHeight w:val="544"/>
        </w:trPr>
        <w:tc>
          <w:tcPr>
            <w:tcW w:w="1684" w:type="dxa"/>
            <w:tcBorders>
              <w:top w:val="single" w:sz="4" w:space="0" w:color="auto"/>
              <w:left w:val="single" w:sz="4" w:space="0" w:color="auto"/>
              <w:bottom w:val="single" w:sz="4" w:space="0" w:color="auto"/>
              <w:right w:val="single" w:sz="4" w:space="0" w:color="auto"/>
            </w:tcBorders>
            <w:vAlign w:val="center"/>
            <w:hideMark/>
          </w:tcPr>
          <w:p w14:paraId="6477AAE5" w14:textId="77777777" w:rsidR="00004219" w:rsidRPr="007C3248" w:rsidRDefault="00004219">
            <w:pPr>
              <w:rPr>
                <w:rFonts w:ascii="DeutscheBank" w:hAnsi="DeutscheBank" w:cs="Times New Roman"/>
                <w:b/>
                <w:bCs/>
              </w:rPr>
            </w:pPr>
            <w:r w:rsidRPr="007C3248">
              <w:rPr>
                <w:rFonts w:ascii="DeutscheBank" w:hAnsi="DeutscheBank" w:cs="Times New Roman"/>
                <w:b/>
                <w:bCs/>
              </w:rPr>
              <w:t>Contingent Variation Margin</w:t>
            </w:r>
          </w:p>
        </w:tc>
        <w:tc>
          <w:tcPr>
            <w:tcW w:w="1848" w:type="dxa"/>
            <w:tcBorders>
              <w:top w:val="single" w:sz="4" w:space="0" w:color="auto"/>
              <w:left w:val="single" w:sz="4" w:space="0" w:color="auto"/>
              <w:bottom w:val="single" w:sz="4" w:space="0" w:color="auto"/>
              <w:right w:val="single" w:sz="4" w:space="0" w:color="auto"/>
            </w:tcBorders>
            <w:vAlign w:val="center"/>
            <w:hideMark/>
          </w:tcPr>
          <w:p w14:paraId="5DE3F6C5"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x</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D7ECCC5" w14:textId="77777777" w:rsidR="00004219" w:rsidRPr="007C3248" w:rsidRDefault="00004219">
            <w:pPr>
              <w:jc w:val="center"/>
              <w:rPr>
                <w:rFonts w:ascii="DeutscheBank" w:hAnsi="DeutscheBank" w:cs="Times New Roman"/>
              </w:rPr>
            </w:pPr>
            <w:r w:rsidRPr="007C3248">
              <w:rPr>
                <w:rFonts w:ascii="DeutscheBank" w:hAnsi="DeutscheBank" w:cs="Times New Roman"/>
              </w:rPr>
              <w:t>n/a</w:t>
            </w:r>
          </w:p>
        </w:tc>
        <w:tc>
          <w:tcPr>
            <w:tcW w:w="3148" w:type="dxa"/>
            <w:tcBorders>
              <w:top w:val="single" w:sz="4" w:space="0" w:color="auto"/>
              <w:left w:val="single" w:sz="4" w:space="0" w:color="auto"/>
              <w:bottom w:val="single" w:sz="4" w:space="0" w:color="auto"/>
              <w:right w:val="single" w:sz="4" w:space="0" w:color="auto"/>
            </w:tcBorders>
            <w:vAlign w:val="center"/>
            <w:hideMark/>
          </w:tcPr>
          <w:p w14:paraId="548255F1" w14:textId="77777777" w:rsidR="00004219" w:rsidRPr="007C3248" w:rsidRDefault="00004219">
            <w:pPr>
              <w:jc w:val="center"/>
              <w:rPr>
                <w:rFonts w:ascii="DeutscheBank" w:hAnsi="DeutscheBank" w:cs="Times New Roman"/>
              </w:rPr>
            </w:pPr>
            <w:r w:rsidRPr="007C3248">
              <w:rPr>
                <w:rFonts w:ascii="DeutscheBank" w:hAnsi="DeutscheBank" w:cs="Times New Roman"/>
              </w:rPr>
              <w:t>n/a</w:t>
            </w:r>
          </w:p>
        </w:tc>
      </w:tr>
      <w:tr w:rsidR="00004219" w:rsidRPr="007C3248" w14:paraId="4E1BA763" w14:textId="77777777" w:rsidTr="00CE445F">
        <w:trPr>
          <w:trHeight w:val="544"/>
        </w:trPr>
        <w:tc>
          <w:tcPr>
            <w:tcW w:w="1684" w:type="dxa"/>
            <w:tcBorders>
              <w:top w:val="single" w:sz="4" w:space="0" w:color="auto"/>
              <w:left w:val="single" w:sz="4" w:space="0" w:color="auto"/>
              <w:bottom w:val="single" w:sz="4" w:space="0" w:color="auto"/>
              <w:right w:val="single" w:sz="4" w:space="0" w:color="auto"/>
            </w:tcBorders>
            <w:vAlign w:val="center"/>
            <w:hideMark/>
          </w:tcPr>
          <w:p w14:paraId="3E746833" w14:textId="77777777" w:rsidR="00004219" w:rsidRPr="007C3248" w:rsidRDefault="00004219">
            <w:pPr>
              <w:rPr>
                <w:rFonts w:ascii="DeutscheBank" w:hAnsi="DeutscheBank" w:cs="Times New Roman"/>
                <w:b/>
                <w:bCs/>
              </w:rPr>
            </w:pPr>
            <w:r w:rsidRPr="007C3248">
              <w:rPr>
                <w:rFonts w:ascii="DeutscheBank" w:hAnsi="DeutscheBank" w:cs="Times New Roman"/>
                <w:b/>
                <w:bCs/>
              </w:rPr>
              <w:t>Emergency Powers</w:t>
            </w:r>
          </w:p>
        </w:tc>
        <w:tc>
          <w:tcPr>
            <w:tcW w:w="1848" w:type="dxa"/>
            <w:tcBorders>
              <w:top w:val="single" w:sz="4" w:space="0" w:color="auto"/>
              <w:left w:val="single" w:sz="4" w:space="0" w:color="auto"/>
              <w:bottom w:val="single" w:sz="4" w:space="0" w:color="auto"/>
              <w:right w:val="single" w:sz="4" w:space="0" w:color="auto"/>
            </w:tcBorders>
            <w:vAlign w:val="center"/>
            <w:hideMark/>
          </w:tcPr>
          <w:p w14:paraId="12CE3F40" w14:textId="77777777" w:rsidR="00004219" w:rsidRPr="007C3248" w:rsidRDefault="00004219">
            <w:pPr>
              <w:jc w:val="center"/>
              <w:rPr>
                <w:rFonts w:ascii="DeutscheBank" w:hAnsi="DeutscheBank" w:cs="Times New Roman"/>
                <w:b/>
                <w:bCs/>
              </w:rPr>
            </w:pPr>
            <w:r w:rsidRPr="007C3248">
              <w:rPr>
                <w:rFonts w:ascii="Segoe UI Symbol" w:hAnsi="Segoe UI Symbol" w:cs="Segoe UI Symbol"/>
                <w:b/>
                <w:bCs/>
              </w:rPr>
              <w:t>✓</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D5D421C" w14:textId="77777777" w:rsidR="00004219" w:rsidRPr="007C3248" w:rsidRDefault="00004219">
            <w:pPr>
              <w:jc w:val="center"/>
              <w:rPr>
                <w:rFonts w:ascii="DeutscheBank" w:hAnsi="DeutscheBank" w:cs="Times New Roman"/>
              </w:rPr>
            </w:pPr>
            <w:r w:rsidRPr="007C3248">
              <w:rPr>
                <w:rFonts w:ascii="DeutscheBank" w:hAnsi="DeutscheBank" w:cs="Times New Roman"/>
              </w:rPr>
              <w:t>Condition 7.3 of the General Conditions I.</w:t>
            </w:r>
          </w:p>
          <w:p w14:paraId="4DBDE711" w14:textId="77777777" w:rsidR="00004219" w:rsidRPr="007C3248" w:rsidRDefault="00004219">
            <w:pPr>
              <w:jc w:val="center"/>
              <w:rPr>
                <w:rFonts w:ascii="DeutscheBank" w:hAnsi="DeutscheBank" w:cs="Times New Roman"/>
              </w:rPr>
            </w:pPr>
            <w:r w:rsidRPr="007C3248">
              <w:rPr>
                <w:rFonts w:ascii="DeutscheBank" w:hAnsi="DeutscheBank" w:cs="Times New Roman"/>
              </w:rPr>
              <w:lastRenderedPageBreak/>
              <w:t>A.1.1.3.5, Regulations</w:t>
            </w:r>
          </w:p>
        </w:tc>
        <w:tc>
          <w:tcPr>
            <w:tcW w:w="3148" w:type="dxa"/>
            <w:tcBorders>
              <w:top w:val="single" w:sz="4" w:space="0" w:color="auto"/>
              <w:left w:val="single" w:sz="4" w:space="0" w:color="auto"/>
              <w:bottom w:val="single" w:sz="4" w:space="0" w:color="auto"/>
              <w:right w:val="single" w:sz="4" w:space="0" w:color="auto"/>
            </w:tcBorders>
            <w:vAlign w:val="center"/>
            <w:hideMark/>
          </w:tcPr>
          <w:p w14:paraId="0956482D" w14:textId="04418CDE" w:rsidR="00004219" w:rsidRPr="007C3248" w:rsidRDefault="00004219">
            <w:pPr>
              <w:rPr>
                <w:rFonts w:ascii="DeutscheBank" w:hAnsi="DeutscheBank" w:cs="Times New Roman"/>
              </w:rPr>
            </w:pPr>
            <w:r w:rsidRPr="007C3248">
              <w:rPr>
                <w:rFonts w:ascii="DeutscheBank" w:hAnsi="DeutscheBank" w:cs="Times New Roman"/>
              </w:rPr>
              <w:lastRenderedPageBreak/>
              <w:t>In</w:t>
            </w:r>
            <w:r w:rsidR="00CE445F">
              <w:rPr>
                <w:rFonts w:ascii="DeutscheBank" w:hAnsi="DeutscheBank" w:cs="Times New Roman"/>
              </w:rPr>
              <w:t xml:space="preserve"> </w:t>
            </w:r>
            <w:r w:rsidRPr="007C3248">
              <w:rPr>
                <w:rFonts w:ascii="DeutscheBank" w:hAnsi="DeutscheBank" w:cs="Times New Roman"/>
              </w:rPr>
              <w:t xml:space="preserve">an emergency situation, CC&amp;G has broad powers to amend its rules or take </w:t>
            </w:r>
            <w:r w:rsidRPr="007C3248">
              <w:rPr>
                <w:rFonts w:ascii="DeutscheBank" w:hAnsi="DeutscheBank" w:cs="Times New Roman"/>
              </w:rPr>
              <w:lastRenderedPageBreak/>
              <w:t>action on little or no notice. This means that CC&amp;G could in practice adopt any of the measures outlined above which are not specifically provided for explicitly in the Rulebook.</w:t>
            </w:r>
          </w:p>
        </w:tc>
      </w:tr>
      <w:tr w:rsidR="00004219" w:rsidRPr="007C3248" w14:paraId="42979F69" w14:textId="77777777" w:rsidTr="00CE445F">
        <w:trPr>
          <w:trHeight w:val="557"/>
        </w:trPr>
        <w:tc>
          <w:tcPr>
            <w:tcW w:w="1684" w:type="dxa"/>
            <w:tcBorders>
              <w:top w:val="single" w:sz="4" w:space="0" w:color="auto"/>
              <w:left w:val="single" w:sz="4" w:space="0" w:color="auto"/>
              <w:bottom w:val="single" w:sz="4" w:space="0" w:color="auto"/>
              <w:right w:val="single" w:sz="4" w:space="0" w:color="auto"/>
            </w:tcBorders>
            <w:vAlign w:val="center"/>
            <w:hideMark/>
          </w:tcPr>
          <w:p w14:paraId="15F14DEB" w14:textId="77777777" w:rsidR="00004219" w:rsidRPr="007C3248" w:rsidRDefault="00004219">
            <w:pPr>
              <w:rPr>
                <w:rFonts w:ascii="DeutscheBank" w:hAnsi="DeutscheBank" w:cs="Times New Roman"/>
                <w:b/>
                <w:bCs/>
              </w:rPr>
            </w:pPr>
            <w:r w:rsidRPr="007C3248">
              <w:rPr>
                <w:rFonts w:ascii="DeutscheBank" w:hAnsi="DeutscheBank" w:cs="Times New Roman"/>
                <w:b/>
                <w:bCs/>
              </w:rPr>
              <w:lastRenderedPageBreak/>
              <w:t>Service Closure</w:t>
            </w:r>
          </w:p>
        </w:tc>
        <w:tc>
          <w:tcPr>
            <w:tcW w:w="1848" w:type="dxa"/>
            <w:tcBorders>
              <w:top w:val="single" w:sz="4" w:space="0" w:color="auto"/>
              <w:left w:val="single" w:sz="4" w:space="0" w:color="auto"/>
              <w:bottom w:val="single" w:sz="4" w:space="0" w:color="auto"/>
              <w:right w:val="single" w:sz="4" w:space="0" w:color="auto"/>
            </w:tcBorders>
            <w:vAlign w:val="center"/>
            <w:hideMark/>
          </w:tcPr>
          <w:p w14:paraId="6546F8C0" w14:textId="77777777" w:rsidR="00004219" w:rsidRPr="007C3248" w:rsidRDefault="00004219">
            <w:pPr>
              <w:jc w:val="center"/>
              <w:rPr>
                <w:rFonts w:ascii="DeutscheBank" w:hAnsi="DeutscheBank" w:cs="Times New Roman"/>
              </w:rPr>
            </w:pPr>
            <w:r w:rsidRPr="007C3248">
              <w:rPr>
                <w:rFonts w:ascii="Segoe UI Symbol" w:hAnsi="Segoe UI Symbol" w:cs="Segoe UI Symbol"/>
                <w:b/>
                <w:bCs/>
              </w:rPr>
              <w:t>✓</w:t>
            </w:r>
          </w:p>
        </w:tc>
        <w:tc>
          <w:tcPr>
            <w:tcW w:w="2315" w:type="dxa"/>
            <w:tcBorders>
              <w:top w:val="single" w:sz="4" w:space="0" w:color="auto"/>
              <w:left w:val="single" w:sz="4" w:space="0" w:color="auto"/>
              <w:bottom w:val="single" w:sz="4" w:space="0" w:color="auto"/>
              <w:right w:val="single" w:sz="4" w:space="0" w:color="auto"/>
            </w:tcBorders>
            <w:vAlign w:val="center"/>
            <w:hideMark/>
          </w:tcPr>
          <w:p w14:paraId="6EC1C96B" w14:textId="77777777" w:rsidR="00004219" w:rsidRPr="007C3248" w:rsidRDefault="00004219">
            <w:pPr>
              <w:rPr>
                <w:rFonts w:ascii="DeutscheBank" w:hAnsi="DeutscheBank" w:cs="Times New Roman"/>
              </w:rPr>
            </w:pPr>
            <w:r w:rsidRPr="007C3248">
              <w:rPr>
                <w:rFonts w:ascii="DeutscheBank" w:hAnsi="DeutscheBank" w:cs="Times New Roman"/>
              </w:rPr>
              <w:t>Article B.7.1.1 of the Rulebook.</w:t>
            </w:r>
          </w:p>
        </w:tc>
        <w:tc>
          <w:tcPr>
            <w:tcW w:w="3148" w:type="dxa"/>
            <w:tcBorders>
              <w:top w:val="single" w:sz="4" w:space="0" w:color="auto"/>
              <w:left w:val="single" w:sz="4" w:space="0" w:color="auto"/>
              <w:bottom w:val="single" w:sz="4" w:space="0" w:color="auto"/>
              <w:right w:val="single" w:sz="4" w:space="0" w:color="auto"/>
            </w:tcBorders>
            <w:vAlign w:val="center"/>
          </w:tcPr>
          <w:p w14:paraId="1B590EC0" w14:textId="77777777" w:rsidR="00004219" w:rsidRPr="007C3248" w:rsidRDefault="00004219">
            <w:pPr>
              <w:rPr>
                <w:rFonts w:ascii="DeutscheBank" w:hAnsi="DeutscheBank" w:cs="Times New Roman"/>
              </w:rPr>
            </w:pPr>
          </w:p>
        </w:tc>
      </w:tr>
    </w:tbl>
    <w:p w14:paraId="4DCB59CF" w14:textId="77777777" w:rsidR="00004219" w:rsidRPr="007C3248" w:rsidRDefault="00004219" w:rsidP="00004219">
      <w:pPr>
        <w:pStyle w:val="Body1"/>
        <w:ind w:left="0"/>
        <w:rPr>
          <w:rFonts w:ascii="DeutscheBank" w:hAnsi="DeutscheBank"/>
          <w:sz w:val="24"/>
          <w:szCs w:val="24"/>
        </w:rPr>
      </w:pPr>
    </w:p>
    <w:p w14:paraId="5DD6EE58" w14:textId="183CCF07" w:rsidR="00004219" w:rsidRPr="007C3248" w:rsidRDefault="00004219">
      <w:pPr>
        <w:spacing w:after="0" w:line="240" w:lineRule="auto"/>
        <w:jc w:val="left"/>
        <w:rPr>
          <w:rFonts w:ascii="DeutscheBank" w:hAnsi="DeutscheBank"/>
        </w:rPr>
      </w:pPr>
      <w:r w:rsidRPr="007C3248">
        <w:rPr>
          <w:rFonts w:ascii="DeutscheBank" w:hAnsi="DeutscheBank"/>
        </w:rPr>
        <w:br w:type="page"/>
      </w:r>
    </w:p>
    <w:p w14:paraId="41E9F794" w14:textId="482692EC" w:rsidR="00004219" w:rsidRPr="007C3248" w:rsidRDefault="00004219" w:rsidP="00004219">
      <w:pPr>
        <w:pStyle w:val="Body"/>
        <w:spacing w:after="120"/>
        <w:jc w:val="center"/>
        <w:rPr>
          <w:rFonts w:ascii="DeutscheBank" w:hAnsi="DeutscheBank"/>
          <w:b/>
          <w:bCs/>
          <w:sz w:val="24"/>
          <w:szCs w:val="24"/>
        </w:rPr>
      </w:pPr>
      <w:bookmarkStart w:id="6" w:name="_Hlk130245923"/>
      <w:r w:rsidRPr="007C3248">
        <w:rPr>
          <w:rFonts w:ascii="DeutscheBank" w:hAnsi="DeutscheBank"/>
          <w:b/>
          <w:bCs/>
          <w:sz w:val="24"/>
          <w:szCs w:val="24"/>
        </w:rPr>
        <w:lastRenderedPageBreak/>
        <w:t>Appendix 3 – Eurex Clearing</w:t>
      </w:r>
    </w:p>
    <w:p w14:paraId="13548B13" w14:textId="1A36408C" w:rsidR="00004219" w:rsidRPr="007C3248" w:rsidRDefault="00004219" w:rsidP="00004219">
      <w:pPr>
        <w:pStyle w:val="Body"/>
        <w:jc w:val="left"/>
        <w:rPr>
          <w:rFonts w:ascii="DeutscheBank" w:hAnsi="DeutscheBank"/>
          <w:i/>
          <w:iCs/>
          <w:sz w:val="24"/>
          <w:szCs w:val="24"/>
        </w:rPr>
      </w:pPr>
    </w:p>
    <w:bookmarkEnd w:id="6"/>
    <w:p w14:paraId="2D681A37" w14:textId="77777777" w:rsidR="00004219" w:rsidRPr="007C3248" w:rsidRDefault="00004219" w:rsidP="00004219">
      <w:pPr>
        <w:pStyle w:val="Body"/>
        <w:jc w:val="left"/>
        <w:rPr>
          <w:rFonts w:ascii="DeutscheBank" w:hAnsi="DeutscheBank"/>
          <w:sz w:val="24"/>
          <w:szCs w:val="24"/>
        </w:rPr>
      </w:pPr>
      <w:r w:rsidRPr="007C3248">
        <w:rPr>
          <w:rFonts w:ascii="DeutscheBank" w:hAnsi="DeutscheBank"/>
          <w:sz w:val="24"/>
          <w:szCs w:val="24"/>
        </w:rPr>
        <w:t>This Appendix sets out the recovery and default tools available to, or that may be applied to, Eurex Clearing AG (“</w:t>
      </w:r>
      <w:r w:rsidRPr="007C3248">
        <w:rPr>
          <w:rFonts w:ascii="DeutscheBank" w:hAnsi="DeutscheBank"/>
          <w:b/>
          <w:bCs/>
          <w:sz w:val="24"/>
          <w:szCs w:val="24"/>
        </w:rPr>
        <w:t>Eurex</w:t>
      </w:r>
      <w:r w:rsidRPr="007C3248">
        <w:rPr>
          <w:rFonts w:ascii="DeutscheBank" w:hAnsi="DeutscheBank"/>
          <w:sz w:val="24"/>
          <w:szCs w:val="24"/>
        </w:rPr>
        <w:t>) in a recovery and resolution scenario as set out in the Clearing Conditions of Eurex Clearing AG as published on 12 February 2023 (the “</w:t>
      </w:r>
      <w:r w:rsidRPr="007C3248">
        <w:rPr>
          <w:rFonts w:ascii="DeutscheBank" w:hAnsi="DeutscheBank"/>
          <w:b/>
          <w:bCs/>
          <w:sz w:val="24"/>
          <w:szCs w:val="24"/>
        </w:rPr>
        <w:t>Rulebook</w:t>
      </w:r>
      <w:r w:rsidRPr="007C3248">
        <w:rPr>
          <w:rFonts w:ascii="DeutscheBank" w:hAnsi="DeutscheBank"/>
          <w:sz w:val="24"/>
          <w:szCs w:val="24"/>
        </w:rPr>
        <w:t xml:space="preserve">”) and certain other documentation published by Eurex referred to in this Appendix. </w:t>
      </w:r>
    </w:p>
    <w:p w14:paraId="0DC2804F" w14:textId="77777777" w:rsidR="00004219" w:rsidRPr="007C3248" w:rsidRDefault="00004219" w:rsidP="00004219">
      <w:pPr>
        <w:pStyle w:val="Body1"/>
        <w:ind w:left="0"/>
        <w:rPr>
          <w:rFonts w:ascii="DeutscheBank" w:hAnsi="DeutscheBank"/>
          <w:sz w:val="24"/>
          <w:szCs w:val="24"/>
        </w:rPr>
      </w:pPr>
      <w:r w:rsidRPr="007C3248">
        <w:rPr>
          <w:rFonts w:ascii="DeutscheBank" w:hAnsi="DeutscheBank"/>
          <w:sz w:val="24"/>
          <w:szCs w:val="24"/>
        </w:rPr>
        <w:t>* indicates that while this measure is not specifically contemplated in the Rulebook, it is likely to be available to Eurex in certain circumstances by virtue of its general powers.</w:t>
      </w:r>
    </w:p>
    <w:tbl>
      <w:tblPr>
        <w:tblStyle w:val="TableGrid"/>
        <w:tblW w:w="8995" w:type="dxa"/>
        <w:tblLook w:val="04A0" w:firstRow="1" w:lastRow="0" w:firstColumn="1" w:lastColumn="0" w:noHBand="0" w:noVBand="1"/>
      </w:tblPr>
      <w:tblGrid>
        <w:gridCol w:w="1660"/>
        <w:gridCol w:w="1848"/>
        <w:gridCol w:w="2301"/>
        <w:gridCol w:w="3186"/>
      </w:tblGrid>
      <w:tr w:rsidR="00004219" w:rsidRPr="007C3248" w14:paraId="683C46F3" w14:textId="77777777" w:rsidTr="00CE445F">
        <w:trPr>
          <w:trHeight w:val="771"/>
        </w:trPr>
        <w:tc>
          <w:tcPr>
            <w:tcW w:w="1660" w:type="dxa"/>
            <w:tcBorders>
              <w:top w:val="single" w:sz="4" w:space="0" w:color="auto"/>
              <w:left w:val="single" w:sz="4" w:space="0" w:color="auto"/>
              <w:bottom w:val="single" w:sz="4" w:space="0" w:color="auto"/>
              <w:right w:val="single" w:sz="4" w:space="0" w:color="auto"/>
            </w:tcBorders>
            <w:hideMark/>
          </w:tcPr>
          <w:p w14:paraId="79C0FF62"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Measure</w:t>
            </w:r>
          </w:p>
        </w:tc>
        <w:tc>
          <w:tcPr>
            <w:tcW w:w="1848" w:type="dxa"/>
            <w:tcBorders>
              <w:top w:val="single" w:sz="4" w:space="0" w:color="auto"/>
              <w:left w:val="single" w:sz="4" w:space="0" w:color="auto"/>
              <w:bottom w:val="single" w:sz="4" w:space="0" w:color="auto"/>
              <w:right w:val="single" w:sz="4" w:space="0" w:color="auto"/>
            </w:tcBorders>
            <w:hideMark/>
          </w:tcPr>
          <w:p w14:paraId="7C1244A4"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Contemplated in Rulebook</w:t>
            </w:r>
          </w:p>
        </w:tc>
        <w:tc>
          <w:tcPr>
            <w:tcW w:w="2301" w:type="dxa"/>
            <w:tcBorders>
              <w:top w:val="single" w:sz="4" w:space="0" w:color="auto"/>
              <w:left w:val="single" w:sz="4" w:space="0" w:color="auto"/>
              <w:bottom w:val="single" w:sz="4" w:space="0" w:color="auto"/>
              <w:right w:val="single" w:sz="4" w:space="0" w:color="auto"/>
            </w:tcBorders>
            <w:hideMark/>
          </w:tcPr>
          <w:p w14:paraId="63E03319" w14:textId="47B9499E" w:rsidR="00004219" w:rsidRPr="007C3248" w:rsidRDefault="00004219">
            <w:pPr>
              <w:jc w:val="center"/>
              <w:rPr>
                <w:rFonts w:ascii="DeutscheBank" w:hAnsi="DeutscheBank" w:cs="Times New Roman"/>
                <w:b/>
                <w:bCs/>
              </w:rPr>
            </w:pPr>
            <w:r w:rsidRPr="007C3248">
              <w:rPr>
                <w:rFonts w:ascii="DeutscheBank" w:hAnsi="DeutscheBank" w:cs="Times New Roman"/>
                <w:b/>
                <w:bCs/>
              </w:rPr>
              <w:t>Rulebook Reference</w:t>
            </w:r>
          </w:p>
        </w:tc>
        <w:tc>
          <w:tcPr>
            <w:tcW w:w="3186" w:type="dxa"/>
            <w:tcBorders>
              <w:top w:val="single" w:sz="4" w:space="0" w:color="auto"/>
              <w:left w:val="single" w:sz="4" w:space="0" w:color="auto"/>
              <w:bottom w:val="single" w:sz="4" w:space="0" w:color="auto"/>
              <w:right w:val="single" w:sz="4" w:space="0" w:color="auto"/>
            </w:tcBorders>
            <w:hideMark/>
          </w:tcPr>
          <w:p w14:paraId="2B153919"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Additional Comments</w:t>
            </w:r>
          </w:p>
        </w:tc>
      </w:tr>
      <w:tr w:rsidR="00004219" w:rsidRPr="007C3248" w14:paraId="2E1895EE" w14:textId="77777777" w:rsidTr="00CE445F">
        <w:trPr>
          <w:trHeight w:val="452"/>
        </w:trPr>
        <w:tc>
          <w:tcPr>
            <w:tcW w:w="1660" w:type="dxa"/>
            <w:tcBorders>
              <w:top w:val="single" w:sz="4" w:space="0" w:color="auto"/>
              <w:left w:val="single" w:sz="4" w:space="0" w:color="auto"/>
              <w:bottom w:val="single" w:sz="4" w:space="0" w:color="auto"/>
              <w:right w:val="single" w:sz="4" w:space="0" w:color="auto"/>
            </w:tcBorders>
            <w:vAlign w:val="center"/>
          </w:tcPr>
          <w:p w14:paraId="6B7AD46E" w14:textId="77777777" w:rsidR="00004219" w:rsidRPr="007C3248" w:rsidRDefault="00004219">
            <w:pPr>
              <w:rPr>
                <w:rFonts w:ascii="DeutscheBank" w:hAnsi="DeutscheBank" w:cs="Times New Roman"/>
                <w:b/>
                <w:bCs/>
              </w:rPr>
            </w:pPr>
            <w:r w:rsidRPr="007C3248">
              <w:rPr>
                <w:rFonts w:ascii="DeutscheBank" w:hAnsi="DeutscheBank" w:cs="Times New Roman"/>
                <w:b/>
                <w:bCs/>
              </w:rPr>
              <w:t>Tear-up</w:t>
            </w:r>
          </w:p>
          <w:p w14:paraId="62347F56" w14:textId="77777777" w:rsidR="00004219" w:rsidRPr="007C3248" w:rsidRDefault="00004219">
            <w:pPr>
              <w:rPr>
                <w:rFonts w:ascii="DeutscheBank" w:hAnsi="DeutscheBank" w:cs="Times New Roman"/>
                <w:b/>
                <w:bCs/>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1305FE5B" w14:textId="77777777" w:rsidR="00004219" w:rsidRPr="007C3248" w:rsidRDefault="00004219">
            <w:pPr>
              <w:jc w:val="center"/>
              <w:rPr>
                <w:rFonts w:ascii="DeutscheBank" w:hAnsi="DeutscheBank" w:cs="Times New Roman"/>
                <w:b/>
                <w:bCs/>
              </w:rPr>
            </w:pPr>
            <w:r w:rsidRPr="007C3248">
              <w:rPr>
                <w:rFonts w:ascii="Segoe UI Symbol" w:hAnsi="Segoe UI Symbol" w:cs="Segoe UI Symbol"/>
                <w:b/>
                <w:bCs/>
              </w:rPr>
              <w:t>✓</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7FBA30D" w14:textId="77777777" w:rsidR="00004219" w:rsidRPr="007C3248" w:rsidRDefault="00004219">
            <w:pPr>
              <w:rPr>
                <w:rFonts w:ascii="DeutscheBank" w:hAnsi="DeutscheBank" w:cs="Times New Roman"/>
              </w:rPr>
            </w:pPr>
            <w:r w:rsidRPr="007C3248">
              <w:rPr>
                <w:rFonts w:ascii="DeutscheBank" w:hAnsi="DeutscheBank" w:cs="Times New Roman"/>
              </w:rPr>
              <w:t>Chapter I Part 1, Conditions 7.5.4.1, 7.5.4.3, 17.7.2(2)(a) and 17.7.2(b)(i) and (iii).</w:t>
            </w:r>
          </w:p>
        </w:tc>
        <w:tc>
          <w:tcPr>
            <w:tcW w:w="3186" w:type="dxa"/>
            <w:tcBorders>
              <w:top w:val="single" w:sz="4" w:space="0" w:color="auto"/>
              <w:left w:val="single" w:sz="4" w:space="0" w:color="auto"/>
              <w:bottom w:val="single" w:sz="4" w:space="0" w:color="auto"/>
              <w:right w:val="single" w:sz="4" w:space="0" w:color="auto"/>
            </w:tcBorders>
            <w:vAlign w:val="center"/>
            <w:hideMark/>
          </w:tcPr>
          <w:p w14:paraId="3BAB1A31" w14:textId="77777777" w:rsidR="00004219" w:rsidRPr="007C3248" w:rsidRDefault="00004219">
            <w:pPr>
              <w:rPr>
                <w:rFonts w:ascii="DeutscheBank" w:hAnsi="DeutscheBank" w:cs="Times New Roman"/>
              </w:rPr>
            </w:pPr>
            <w:r w:rsidRPr="007C3248">
              <w:rPr>
                <w:rFonts w:ascii="DeutscheBank" w:hAnsi="DeutscheBank" w:cs="Times New Roman"/>
              </w:rPr>
              <w:t xml:space="preserve">Eurex or the resolution authority may terminate transactions with opposite directional positions to those of the defaulting clearing member. Eurex or the resolution authority may also terminate all transactions within a liquidation group on the occurrence of a clearing member default where the resources available to Eurex are not sufficient to cover its losses. </w:t>
            </w:r>
          </w:p>
        </w:tc>
      </w:tr>
      <w:tr w:rsidR="00004219" w:rsidRPr="007C3248" w14:paraId="40DDF720" w14:textId="77777777" w:rsidTr="00CE445F">
        <w:trPr>
          <w:trHeight w:val="341"/>
        </w:trPr>
        <w:tc>
          <w:tcPr>
            <w:tcW w:w="1660" w:type="dxa"/>
            <w:tcBorders>
              <w:top w:val="single" w:sz="4" w:space="0" w:color="auto"/>
              <w:left w:val="single" w:sz="4" w:space="0" w:color="auto"/>
              <w:bottom w:val="single" w:sz="4" w:space="0" w:color="auto"/>
              <w:right w:val="single" w:sz="4" w:space="0" w:color="auto"/>
            </w:tcBorders>
            <w:vAlign w:val="center"/>
            <w:hideMark/>
          </w:tcPr>
          <w:p w14:paraId="003C93EC" w14:textId="77777777" w:rsidR="00004219" w:rsidRPr="007C3248" w:rsidRDefault="00004219">
            <w:pPr>
              <w:rPr>
                <w:rFonts w:ascii="DeutscheBank" w:hAnsi="DeutscheBank" w:cs="Times New Roman"/>
                <w:b/>
                <w:bCs/>
              </w:rPr>
            </w:pPr>
            <w:r w:rsidRPr="007C3248">
              <w:rPr>
                <w:rFonts w:ascii="DeutscheBank" w:hAnsi="DeutscheBank" w:cs="Times New Roman"/>
                <w:b/>
                <w:bCs/>
              </w:rPr>
              <w:t>Invoicing Back</w:t>
            </w:r>
          </w:p>
        </w:tc>
        <w:tc>
          <w:tcPr>
            <w:tcW w:w="1848" w:type="dxa"/>
            <w:tcBorders>
              <w:top w:val="single" w:sz="4" w:space="0" w:color="auto"/>
              <w:left w:val="single" w:sz="4" w:space="0" w:color="auto"/>
              <w:bottom w:val="single" w:sz="4" w:space="0" w:color="auto"/>
              <w:right w:val="single" w:sz="4" w:space="0" w:color="auto"/>
            </w:tcBorders>
            <w:vAlign w:val="center"/>
            <w:hideMark/>
          </w:tcPr>
          <w:p w14:paraId="2F036AA6" w14:textId="77777777" w:rsidR="00004219" w:rsidRPr="007C3248" w:rsidRDefault="00004219">
            <w:pPr>
              <w:jc w:val="center"/>
              <w:rPr>
                <w:rFonts w:ascii="DeutscheBank" w:hAnsi="DeutscheBank" w:cs="Times New Roman"/>
                <w:b/>
                <w:bCs/>
              </w:rPr>
            </w:pPr>
            <w:r w:rsidRPr="007C3248">
              <w:rPr>
                <w:rFonts w:ascii="Segoe UI Symbol" w:hAnsi="Segoe UI Symbol" w:cs="Segoe UI Symbol"/>
                <w:b/>
                <w:bCs/>
              </w:rPr>
              <w:t>✓</w:t>
            </w:r>
          </w:p>
        </w:tc>
        <w:tc>
          <w:tcPr>
            <w:tcW w:w="2301" w:type="dxa"/>
            <w:tcBorders>
              <w:top w:val="single" w:sz="4" w:space="0" w:color="auto"/>
              <w:left w:val="single" w:sz="4" w:space="0" w:color="auto"/>
              <w:bottom w:val="single" w:sz="4" w:space="0" w:color="auto"/>
              <w:right w:val="single" w:sz="4" w:space="0" w:color="auto"/>
            </w:tcBorders>
            <w:vAlign w:val="center"/>
            <w:hideMark/>
          </w:tcPr>
          <w:p w14:paraId="311F38B3" w14:textId="77777777" w:rsidR="00004219" w:rsidRPr="007C3248" w:rsidRDefault="00004219">
            <w:pPr>
              <w:rPr>
                <w:rFonts w:ascii="DeutscheBank" w:hAnsi="DeutscheBank" w:cs="Times New Roman"/>
              </w:rPr>
            </w:pPr>
            <w:r w:rsidRPr="007C3248">
              <w:rPr>
                <w:rFonts w:ascii="DeutscheBank" w:hAnsi="DeutscheBank" w:cs="Times New Roman"/>
              </w:rPr>
              <w:t>Chapter I Part 1, Conditions 13.3.1 and 13.3.3.</w:t>
            </w:r>
          </w:p>
        </w:tc>
        <w:tc>
          <w:tcPr>
            <w:tcW w:w="3186" w:type="dxa"/>
            <w:tcBorders>
              <w:top w:val="single" w:sz="4" w:space="0" w:color="auto"/>
              <w:left w:val="single" w:sz="4" w:space="0" w:color="auto"/>
              <w:bottom w:val="single" w:sz="4" w:space="0" w:color="auto"/>
              <w:right w:val="single" w:sz="4" w:space="0" w:color="auto"/>
            </w:tcBorders>
            <w:vAlign w:val="center"/>
            <w:hideMark/>
          </w:tcPr>
          <w:p w14:paraId="15CEFD74" w14:textId="77777777" w:rsidR="00004219" w:rsidRPr="007C3248" w:rsidRDefault="00004219">
            <w:pPr>
              <w:rPr>
                <w:rFonts w:ascii="DeutscheBank" w:hAnsi="DeutscheBank" w:cs="Times New Roman"/>
              </w:rPr>
            </w:pPr>
            <w:r w:rsidRPr="007C3248">
              <w:rPr>
                <w:rFonts w:ascii="DeutscheBank" w:hAnsi="DeutscheBank" w:cs="Times New Roman"/>
              </w:rPr>
              <w:t xml:space="preserve">Eurex may establish opposite corresponding transactions with respect to transactions affected by a force majeure event, </w:t>
            </w:r>
            <w:r w:rsidRPr="007C3248">
              <w:rPr>
                <w:rFonts w:ascii="DeutscheBank" w:hAnsi="DeutscheBank" w:cs="Times New Roman"/>
              </w:rPr>
              <w:lastRenderedPageBreak/>
              <w:t>market disorder event or an impossibility event.</w:t>
            </w:r>
          </w:p>
        </w:tc>
      </w:tr>
      <w:tr w:rsidR="00004219" w:rsidRPr="007C3248" w14:paraId="0024CEE7" w14:textId="77777777" w:rsidTr="00CE445F">
        <w:trPr>
          <w:trHeight w:val="649"/>
        </w:trPr>
        <w:tc>
          <w:tcPr>
            <w:tcW w:w="1660" w:type="dxa"/>
            <w:tcBorders>
              <w:top w:val="single" w:sz="4" w:space="0" w:color="auto"/>
              <w:left w:val="single" w:sz="4" w:space="0" w:color="auto"/>
              <w:bottom w:val="single" w:sz="4" w:space="0" w:color="auto"/>
              <w:right w:val="single" w:sz="4" w:space="0" w:color="auto"/>
            </w:tcBorders>
            <w:vAlign w:val="center"/>
            <w:hideMark/>
          </w:tcPr>
          <w:p w14:paraId="7C5C363A" w14:textId="77777777" w:rsidR="00004219" w:rsidRPr="007C3248" w:rsidRDefault="00004219">
            <w:pPr>
              <w:rPr>
                <w:rFonts w:ascii="DeutscheBank" w:hAnsi="DeutscheBank" w:cs="Times New Roman"/>
                <w:b/>
                <w:bCs/>
              </w:rPr>
            </w:pPr>
            <w:r w:rsidRPr="007C3248">
              <w:rPr>
                <w:rFonts w:ascii="DeutscheBank" w:hAnsi="DeutscheBank" w:cs="Times New Roman"/>
                <w:b/>
                <w:bCs/>
              </w:rPr>
              <w:lastRenderedPageBreak/>
              <w:t>Variation Margin Gains Haircutting (VMGH)</w:t>
            </w:r>
          </w:p>
        </w:tc>
        <w:tc>
          <w:tcPr>
            <w:tcW w:w="1848" w:type="dxa"/>
            <w:tcBorders>
              <w:top w:val="single" w:sz="4" w:space="0" w:color="auto"/>
              <w:left w:val="single" w:sz="4" w:space="0" w:color="auto"/>
              <w:bottom w:val="single" w:sz="4" w:space="0" w:color="auto"/>
              <w:right w:val="single" w:sz="4" w:space="0" w:color="auto"/>
            </w:tcBorders>
            <w:vAlign w:val="center"/>
            <w:hideMark/>
          </w:tcPr>
          <w:p w14:paraId="7899460E" w14:textId="77777777" w:rsidR="00004219" w:rsidRPr="007C3248" w:rsidRDefault="00004219">
            <w:pPr>
              <w:jc w:val="center"/>
              <w:rPr>
                <w:rFonts w:ascii="DeutscheBank" w:hAnsi="DeutscheBank" w:cs="Times New Roman"/>
                <w:highlight w:val="green"/>
              </w:rPr>
            </w:pPr>
            <w:r w:rsidRPr="007C3248">
              <w:rPr>
                <w:rFonts w:ascii="Segoe UI Symbol" w:hAnsi="Segoe UI Symbol" w:cs="Segoe UI Symbol"/>
                <w:b/>
                <w:bCs/>
              </w:rPr>
              <w:t>✓</w:t>
            </w:r>
          </w:p>
        </w:tc>
        <w:tc>
          <w:tcPr>
            <w:tcW w:w="2301" w:type="dxa"/>
            <w:tcBorders>
              <w:top w:val="single" w:sz="4" w:space="0" w:color="auto"/>
              <w:left w:val="single" w:sz="4" w:space="0" w:color="auto"/>
              <w:bottom w:val="single" w:sz="4" w:space="0" w:color="auto"/>
              <w:right w:val="single" w:sz="4" w:space="0" w:color="auto"/>
            </w:tcBorders>
            <w:vAlign w:val="center"/>
            <w:hideMark/>
          </w:tcPr>
          <w:p w14:paraId="2B217203" w14:textId="77777777" w:rsidR="00004219" w:rsidRPr="007C3248" w:rsidRDefault="00004219">
            <w:pPr>
              <w:rPr>
                <w:rFonts w:ascii="DeutscheBank" w:hAnsi="DeutscheBank" w:cs="Times New Roman"/>
                <w:highlight w:val="green"/>
              </w:rPr>
            </w:pPr>
            <w:r w:rsidRPr="007C3248">
              <w:rPr>
                <w:rFonts w:ascii="DeutscheBank" w:hAnsi="DeutscheBank" w:cs="Times New Roman"/>
              </w:rPr>
              <w:t>Chapter I, Part 1, 17.7.2(3).</w:t>
            </w:r>
          </w:p>
        </w:tc>
        <w:tc>
          <w:tcPr>
            <w:tcW w:w="3186" w:type="dxa"/>
            <w:tcBorders>
              <w:top w:val="single" w:sz="4" w:space="0" w:color="auto"/>
              <w:left w:val="single" w:sz="4" w:space="0" w:color="auto"/>
              <w:bottom w:val="single" w:sz="4" w:space="0" w:color="auto"/>
              <w:right w:val="single" w:sz="4" w:space="0" w:color="auto"/>
            </w:tcBorders>
            <w:vAlign w:val="center"/>
          </w:tcPr>
          <w:p w14:paraId="3D1F985C" w14:textId="77777777" w:rsidR="00004219" w:rsidRPr="007C3248" w:rsidRDefault="00004219" w:rsidP="00004219">
            <w:pPr>
              <w:pStyle w:val="ListParagraph"/>
              <w:numPr>
                <w:ilvl w:val="0"/>
                <w:numId w:val="33"/>
              </w:numPr>
              <w:spacing w:after="0" w:line="240" w:lineRule="auto"/>
              <w:jc w:val="center"/>
              <w:rPr>
                <w:rFonts w:ascii="DeutscheBank" w:hAnsi="DeutscheBank" w:cs="Times New Roman"/>
              </w:rPr>
            </w:pPr>
          </w:p>
        </w:tc>
      </w:tr>
      <w:tr w:rsidR="00004219" w:rsidRPr="007C3248" w14:paraId="25F35159" w14:textId="77777777" w:rsidTr="00CE445F">
        <w:trPr>
          <w:trHeight w:val="487"/>
        </w:trPr>
        <w:tc>
          <w:tcPr>
            <w:tcW w:w="1660" w:type="dxa"/>
            <w:tcBorders>
              <w:top w:val="single" w:sz="4" w:space="0" w:color="auto"/>
              <w:left w:val="single" w:sz="4" w:space="0" w:color="auto"/>
              <w:bottom w:val="single" w:sz="4" w:space="0" w:color="auto"/>
              <w:right w:val="single" w:sz="4" w:space="0" w:color="auto"/>
            </w:tcBorders>
            <w:vAlign w:val="center"/>
            <w:hideMark/>
          </w:tcPr>
          <w:p w14:paraId="1F22205A" w14:textId="77777777" w:rsidR="00004219" w:rsidRPr="007C3248" w:rsidRDefault="00004219">
            <w:pPr>
              <w:rPr>
                <w:rFonts w:ascii="DeutscheBank" w:hAnsi="DeutscheBank" w:cs="Times New Roman"/>
                <w:b/>
                <w:bCs/>
              </w:rPr>
            </w:pPr>
            <w:r w:rsidRPr="007C3248">
              <w:rPr>
                <w:rFonts w:ascii="DeutscheBank" w:hAnsi="DeutscheBank" w:cs="Times New Roman"/>
                <w:b/>
                <w:bCs/>
              </w:rPr>
              <w:t>Assessments</w:t>
            </w:r>
          </w:p>
        </w:tc>
        <w:tc>
          <w:tcPr>
            <w:tcW w:w="1848" w:type="dxa"/>
            <w:tcBorders>
              <w:top w:val="single" w:sz="4" w:space="0" w:color="auto"/>
              <w:left w:val="single" w:sz="4" w:space="0" w:color="auto"/>
              <w:bottom w:val="single" w:sz="4" w:space="0" w:color="auto"/>
              <w:right w:val="single" w:sz="4" w:space="0" w:color="auto"/>
            </w:tcBorders>
            <w:vAlign w:val="center"/>
            <w:hideMark/>
          </w:tcPr>
          <w:p w14:paraId="7B3FEB85" w14:textId="77777777" w:rsidR="00004219" w:rsidRPr="007C3248" w:rsidRDefault="00004219">
            <w:pPr>
              <w:jc w:val="center"/>
              <w:rPr>
                <w:rFonts w:ascii="DeutscheBank" w:hAnsi="DeutscheBank" w:cs="Times New Roman"/>
              </w:rPr>
            </w:pPr>
            <w:r w:rsidRPr="007C3248">
              <w:rPr>
                <w:rFonts w:ascii="Segoe UI Symbol" w:hAnsi="Segoe UI Symbol" w:cs="Segoe UI Symbol"/>
                <w:b/>
                <w:bCs/>
              </w:rPr>
              <w:t>✓</w:t>
            </w:r>
          </w:p>
        </w:tc>
        <w:tc>
          <w:tcPr>
            <w:tcW w:w="2301" w:type="dxa"/>
            <w:tcBorders>
              <w:top w:val="single" w:sz="4" w:space="0" w:color="auto"/>
              <w:left w:val="single" w:sz="4" w:space="0" w:color="auto"/>
              <w:bottom w:val="single" w:sz="4" w:space="0" w:color="auto"/>
              <w:right w:val="single" w:sz="4" w:space="0" w:color="auto"/>
            </w:tcBorders>
            <w:vAlign w:val="center"/>
            <w:hideMark/>
          </w:tcPr>
          <w:p w14:paraId="5E3B38D6" w14:textId="77777777" w:rsidR="00004219" w:rsidRPr="007C3248" w:rsidRDefault="00004219">
            <w:pPr>
              <w:rPr>
                <w:rFonts w:ascii="DeutscheBank" w:hAnsi="DeutscheBank" w:cs="Times New Roman"/>
              </w:rPr>
            </w:pPr>
            <w:r w:rsidRPr="007C3248">
              <w:rPr>
                <w:rFonts w:ascii="DeutscheBank" w:hAnsi="DeutscheBank" w:cs="Times New Roman"/>
              </w:rPr>
              <w:t>Chapter I Part 1, Conditions 6.3.1 and 17.7.2(4).</w:t>
            </w:r>
          </w:p>
        </w:tc>
        <w:tc>
          <w:tcPr>
            <w:tcW w:w="3186" w:type="dxa"/>
            <w:tcBorders>
              <w:top w:val="single" w:sz="4" w:space="0" w:color="auto"/>
              <w:left w:val="single" w:sz="4" w:space="0" w:color="auto"/>
              <w:bottom w:val="single" w:sz="4" w:space="0" w:color="auto"/>
              <w:right w:val="single" w:sz="4" w:space="0" w:color="auto"/>
            </w:tcBorders>
            <w:vAlign w:val="center"/>
            <w:hideMark/>
          </w:tcPr>
          <w:p w14:paraId="21005CC2" w14:textId="77777777" w:rsidR="00004219" w:rsidRPr="007C3248" w:rsidRDefault="00004219">
            <w:pPr>
              <w:rPr>
                <w:rFonts w:ascii="DeutscheBank" w:hAnsi="DeutscheBank" w:cs="Times New Roman"/>
              </w:rPr>
            </w:pPr>
            <w:r w:rsidRPr="007C3248">
              <w:rPr>
                <w:rFonts w:ascii="DeutscheBank" w:hAnsi="DeutscheBank" w:cs="Times New Roman"/>
              </w:rPr>
              <w:t xml:space="preserve"> There is a cap on the amount of assessments that may be called</w:t>
            </w:r>
          </w:p>
        </w:tc>
      </w:tr>
      <w:tr w:rsidR="00004219" w:rsidRPr="007C3248" w14:paraId="02DA5DFF" w14:textId="77777777" w:rsidTr="00CE445F">
        <w:trPr>
          <w:trHeight w:val="703"/>
        </w:trPr>
        <w:tc>
          <w:tcPr>
            <w:tcW w:w="1660" w:type="dxa"/>
            <w:tcBorders>
              <w:top w:val="single" w:sz="4" w:space="0" w:color="auto"/>
              <w:left w:val="single" w:sz="4" w:space="0" w:color="auto"/>
              <w:bottom w:val="single" w:sz="4" w:space="0" w:color="auto"/>
              <w:right w:val="single" w:sz="4" w:space="0" w:color="auto"/>
            </w:tcBorders>
            <w:vAlign w:val="center"/>
            <w:hideMark/>
          </w:tcPr>
          <w:p w14:paraId="02849921" w14:textId="77777777" w:rsidR="00004219" w:rsidRPr="007C3248" w:rsidRDefault="00004219">
            <w:pPr>
              <w:rPr>
                <w:rFonts w:ascii="DeutscheBank" w:hAnsi="DeutscheBank" w:cs="Times New Roman"/>
                <w:b/>
                <w:bCs/>
              </w:rPr>
            </w:pPr>
            <w:r w:rsidRPr="007C3248">
              <w:rPr>
                <w:rFonts w:ascii="DeutscheBank" w:hAnsi="DeutscheBank" w:cs="Times New Roman"/>
                <w:b/>
                <w:bCs/>
              </w:rPr>
              <w:t>Changes to Margin Criteria</w:t>
            </w:r>
          </w:p>
        </w:tc>
        <w:tc>
          <w:tcPr>
            <w:tcW w:w="1848" w:type="dxa"/>
            <w:tcBorders>
              <w:top w:val="single" w:sz="4" w:space="0" w:color="auto"/>
              <w:left w:val="single" w:sz="4" w:space="0" w:color="auto"/>
              <w:bottom w:val="single" w:sz="4" w:space="0" w:color="auto"/>
              <w:right w:val="single" w:sz="4" w:space="0" w:color="auto"/>
            </w:tcBorders>
            <w:vAlign w:val="center"/>
            <w:hideMark/>
          </w:tcPr>
          <w:p w14:paraId="33F339A4" w14:textId="77777777" w:rsidR="00004219" w:rsidRPr="007C3248" w:rsidRDefault="00004219">
            <w:pPr>
              <w:jc w:val="center"/>
              <w:rPr>
                <w:rFonts w:ascii="DeutscheBank" w:hAnsi="DeutscheBank" w:cs="Times New Roman"/>
                <w:b/>
                <w:bCs/>
              </w:rPr>
            </w:pPr>
            <w:r w:rsidRPr="007C3248">
              <w:rPr>
                <w:rFonts w:ascii="Segoe UI Symbol" w:hAnsi="Segoe UI Symbol" w:cs="Segoe UI Symbol"/>
                <w:b/>
                <w:bCs/>
              </w:rPr>
              <w:t>✓</w:t>
            </w:r>
          </w:p>
        </w:tc>
        <w:tc>
          <w:tcPr>
            <w:tcW w:w="2301" w:type="dxa"/>
            <w:tcBorders>
              <w:top w:val="single" w:sz="4" w:space="0" w:color="auto"/>
              <w:left w:val="single" w:sz="4" w:space="0" w:color="auto"/>
              <w:bottom w:val="single" w:sz="4" w:space="0" w:color="auto"/>
              <w:right w:val="single" w:sz="4" w:space="0" w:color="auto"/>
            </w:tcBorders>
            <w:vAlign w:val="center"/>
            <w:hideMark/>
          </w:tcPr>
          <w:p w14:paraId="14F71A55" w14:textId="77777777" w:rsidR="00004219" w:rsidRPr="007C3248" w:rsidRDefault="00004219">
            <w:pPr>
              <w:rPr>
                <w:rFonts w:ascii="DeutscheBank" w:hAnsi="DeutscheBank" w:cs="Times New Roman"/>
              </w:rPr>
            </w:pPr>
            <w:r w:rsidRPr="007C3248">
              <w:rPr>
                <w:rFonts w:ascii="DeutscheBank" w:hAnsi="DeutscheBank" w:cs="Times New Roman"/>
              </w:rPr>
              <w:t>Chapter I Part 1 Conditions 1.6.3 (b), 3.2.1, 3.2.4, 3.2.5 and 16.1.</w:t>
            </w:r>
          </w:p>
        </w:tc>
        <w:tc>
          <w:tcPr>
            <w:tcW w:w="3186" w:type="dxa"/>
            <w:tcBorders>
              <w:top w:val="single" w:sz="4" w:space="0" w:color="auto"/>
              <w:left w:val="single" w:sz="4" w:space="0" w:color="auto"/>
              <w:bottom w:val="single" w:sz="4" w:space="0" w:color="auto"/>
              <w:right w:val="single" w:sz="4" w:space="0" w:color="auto"/>
            </w:tcBorders>
            <w:vAlign w:val="center"/>
          </w:tcPr>
          <w:p w14:paraId="66B9D983" w14:textId="77777777" w:rsidR="00004219" w:rsidRPr="007C3248" w:rsidRDefault="00004219">
            <w:pPr>
              <w:rPr>
                <w:rFonts w:ascii="DeutscheBank" w:hAnsi="DeutscheBank" w:cs="Times New Roman"/>
                <w:highlight w:val="green"/>
              </w:rPr>
            </w:pPr>
          </w:p>
        </w:tc>
      </w:tr>
      <w:tr w:rsidR="00004219" w:rsidRPr="007C3248" w14:paraId="5C0B7D57" w14:textId="77777777" w:rsidTr="00CE445F">
        <w:trPr>
          <w:trHeight w:val="544"/>
        </w:trPr>
        <w:tc>
          <w:tcPr>
            <w:tcW w:w="1660" w:type="dxa"/>
            <w:tcBorders>
              <w:top w:val="single" w:sz="4" w:space="0" w:color="auto"/>
              <w:left w:val="single" w:sz="4" w:space="0" w:color="auto"/>
              <w:bottom w:val="single" w:sz="4" w:space="0" w:color="auto"/>
              <w:right w:val="single" w:sz="4" w:space="0" w:color="auto"/>
            </w:tcBorders>
            <w:vAlign w:val="center"/>
            <w:hideMark/>
          </w:tcPr>
          <w:p w14:paraId="0E54A63A" w14:textId="77777777" w:rsidR="00004219" w:rsidRPr="007C3248" w:rsidRDefault="00004219">
            <w:pPr>
              <w:rPr>
                <w:rFonts w:ascii="DeutscheBank" w:hAnsi="DeutscheBank" w:cs="Times New Roman"/>
                <w:b/>
                <w:bCs/>
              </w:rPr>
            </w:pPr>
            <w:r w:rsidRPr="007C3248">
              <w:rPr>
                <w:rFonts w:ascii="DeutscheBank" w:hAnsi="DeutscheBank" w:cs="Times New Roman"/>
                <w:b/>
                <w:bCs/>
              </w:rPr>
              <w:t>Contingent Variation Margin</w:t>
            </w:r>
          </w:p>
        </w:tc>
        <w:tc>
          <w:tcPr>
            <w:tcW w:w="1848" w:type="dxa"/>
            <w:tcBorders>
              <w:top w:val="single" w:sz="4" w:space="0" w:color="auto"/>
              <w:left w:val="single" w:sz="4" w:space="0" w:color="auto"/>
              <w:bottom w:val="single" w:sz="4" w:space="0" w:color="auto"/>
              <w:right w:val="single" w:sz="4" w:space="0" w:color="auto"/>
            </w:tcBorders>
            <w:vAlign w:val="center"/>
            <w:hideMark/>
          </w:tcPr>
          <w:p w14:paraId="6079C774" w14:textId="77777777" w:rsidR="00004219" w:rsidRPr="007C3248" w:rsidRDefault="00004219">
            <w:pPr>
              <w:jc w:val="center"/>
              <w:rPr>
                <w:rFonts w:ascii="DeutscheBank" w:hAnsi="DeutscheBank" w:cs="Times New Roman"/>
                <w:b/>
                <w:bCs/>
              </w:rPr>
            </w:pPr>
            <w:r w:rsidRPr="007C3248">
              <w:rPr>
                <w:rFonts w:ascii="DeutscheBank" w:hAnsi="DeutscheBank" w:cs="Times New Roman"/>
              </w:rPr>
              <w:t>x*</w:t>
            </w:r>
          </w:p>
        </w:tc>
        <w:tc>
          <w:tcPr>
            <w:tcW w:w="2301" w:type="dxa"/>
            <w:tcBorders>
              <w:top w:val="single" w:sz="4" w:space="0" w:color="auto"/>
              <w:left w:val="single" w:sz="4" w:space="0" w:color="auto"/>
              <w:bottom w:val="single" w:sz="4" w:space="0" w:color="auto"/>
              <w:right w:val="single" w:sz="4" w:space="0" w:color="auto"/>
            </w:tcBorders>
            <w:vAlign w:val="center"/>
            <w:hideMark/>
          </w:tcPr>
          <w:p w14:paraId="3AE58974" w14:textId="77777777" w:rsidR="00004219" w:rsidRPr="007C3248" w:rsidRDefault="00004219">
            <w:pPr>
              <w:jc w:val="center"/>
              <w:rPr>
                <w:rFonts w:ascii="DeutscheBank" w:hAnsi="DeutscheBank" w:cs="Times New Roman"/>
              </w:rPr>
            </w:pPr>
            <w:r w:rsidRPr="007C3248">
              <w:rPr>
                <w:rFonts w:ascii="DeutscheBank" w:hAnsi="DeutscheBank" w:cs="Times New Roman"/>
              </w:rPr>
              <w:t>n/a</w:t>
            </w:r>
          </w:p>
        </w:tc>
        <w:tc>
          <w:tcPr>
            <w:tcW w:w="3186" w:type="dxa"/>
            <w:tcBorders>
              <w:top w:val="single" w:sz="4" w:space="0" w:color="auto"/>
              <w:left w:val="single" w:sz="4" w:space="0" w:color="auto"/>
              <w:bottom w:val="single" w:sz="4" w:space="0" w:color="auto"/>
              <w:right w:val="single" w:sz="4" w:space="0" w:color="auto"/>
            </w:tcBorders>
            <w:vAlign w:val="center"/>
            <w:hideMark/>
          </w:tcPr>
          <w:p w14:paraId="12D6F897" w14:textId="77777777" w:rsidR="00004219" w:rsidRPr="007C3248" w:rsidRDefault="00004219">
            <w:pPr>
              <w:jc w:val="center"/>
              <w:rPr>
                <w:rFonts w:ascii="DeutscheBank" w:hAnsi="DeutscheBank" w:cs="Times New Roman"/>
              </w:rPr>
            </w:pPr>
            <w:r w:rsidRPr="007C3248">
              <w:rPr>
                <w:rFonts w:ascii="DeutscheBank" w:hAnsi="DeutscheBank" w:cs="Times New Roman"/>
              </w:rPr>
              <w:t>n/a</w:t>
            </w:r>
          </w:p>
        </w:tc>
      </w:tr>
      <w:tr w:rsidR="00004219" w:rsidRPr="007C3248" w14:paraId="71D4CBE0" w14:textId="77777777" w:rsidTr="00CE445F">
        <w:trPr>
          <w:trHeight w:val="544"/>
        </w:trPr>
        <w:tc>
          <w:tcPr>
            <w:tcW w:w="1660" w:type="dxa"/>
            <w:tcBorders>
              <w:top w:val="single" w:sz="4" w:space="0" w:color="auto"/>
              <w:left w:val="single" w:sz="4" w:space="0" w:color="auto"/>
              <w:bottom w:val="single" w:sz="4" w:space="0" w:color="auto"/>
              <w:right w:val="single" w:sz="4" w:space="0" w:color="auto"/>
            </w:tcBorders>
            <w:vAlign w:val="center"/>
            <w:hideMark/>
          </w:tcPr>
          <w:p w14:paraId="3FD44D32" w14:textId="77777777" w:rsidR="00004219" w:rsidRPr="007C3248" w:rsidRDefault="00004219">
            <w:pPr>
              <w:rPr>
                <w:rFonts w:ascii="DeutscheBank" w:hAnsi="DeutscheBank" w:cs="Times New Roman"/>
                <w:b/>
                <w:bCs/>
              </w:rPr>
            </w:pPr>
            <w:r w:rsidRPr="007C3248">
              <w:rPr>
                <w:rFonts w:ascii="DeutscheBank" w:hAnsi="DeutscheBank" w:cs="Times New Roman"/>
                <w:b/>
                <w:bCs/>
              </w:rPr>
              <w:t>Emergency Powers</w:t>
            </w:r>
          </w:p>
        </w:tc>
        <w:tc>
          <w:tcPr>
            <w:tcW w:w="1848" w:type="dxa"/>
            <w:tcBorders>
              <w:top w:val="single" w:sz="4" w:space="0" w:color="auto"/>
              <w:left w:val="single" w:sz="4" w:space="0" w:color="auto"/>
              <w:bottom w:val="single" w:sz="4" w:space="0" w:color="auto"/>
              <w:right w:val="single" w:sz="4" w:space="0" w:color="auto"/>
            </w:tcBorders>
            <w:vAlign w:val="center"/>
            <w:hideMark/>
          </w:tcPr>
          <w:p w14:paraId="4EA241CB" w14:textId="77777777" w:rsidR="00004219" w:rsidRPr="007C3248" w:rsidRDefault="00004219">
            <w:pPr>
              <w:jc w:val="center"/>
              <w:rPr>
                <w:rFonts w:ascii="DeutscheBank" w:hAnsi="DeutscheBank" w:cs="Times New Roman"/>
              </w:rPr>
            </w:pPr>
            <w:r w:rsidRPr="007C3248">
              <w:rPr>
                <w:rFonts w:ascii="DeutscheBank" w:hAnsi="DeutscheBank" w:cs="Times New Roman"/>
              </w:rPr>
              <w:sym w:font="Wingdings" w:char="F0FC"/>
            </w:r>
          </w:p>
        </w:tc>
        <w:tc>
          <w:tcPr>
            <w:tcW w:w="2301" w:type="dxa"/>
            <w:tcBorders>
              <w:top w:val="single" w:sz="4" w:space="0" w:color="auto"/>
              <w:left w:val="single" w:sz="4" w:space="0" w:color="auto"/>
              <w:bottom w:val="single" w:sz="4" w:space="0" w:color="auto"/>
              <w:right w:val="single" w:sz="4" w:space="0" w:color="auto"/>
            </w:tcBorders>
            <w:vAlign w:val="center"/>
          </w:tcPr>
          <w:p w14:paraId="41C2DF4A" w14:textId="77777777" w:rsidR="00004219" w:rsidRPr="007C3248" w:rsidRDefault="00004219">
            <w:pPr>
              <w:jc w:val="center"/>
              <w:rPr>
                <w:rFonts w:ascii="DeutscheBank" w:hAnsi="DeutscheBank" w:cs="Times New Roman"/>
              </w:rPr>
            </w:pPr>
            <w:r w:rsidRPr="007C3248">
              <w:rPr>
                <w:rFonts w:ascii="DeutscheBank" w:hAnsi="DeutscheBank" w:cs="Times New Roman"/>
              </w:rPr>
              <w:t>Chapter I, Part 1, Condition 13.3.1(2)(ii) and 17.3.1(2)</w:t>
            </w:r>
          </w:p>
          <w:p w14:paraId="6BFCEBDA" w14:textId="77777777" w:rsidR="00004219" w:rsidRPr="007C3248" w:rsidRDefault="00004219">
            <w:pPr>
              <w:jc w:val="center"/>
              <w:rPr>
                <w:rFonts w:ascii="DeutscheBank" w:hAnsi="DeutscheBank" w:cs="Times New Roman"/>
              </w:rPr>
            </w:pPr>
            <w:r w:rsidRPr="007C3248">
              <w:rPr>
                <w:rFonts w:ascii="DeutscheBank" w:hAnsi="DeutscheBank" w:cs="Times New Roman"/>
              </w:rPr>
              <w:t>Chapter VIII, Part 1, Condition 1.5</w:t>
            </w:r>
          </w:p>
          <w:p w14:paraId="60F0FF75" w14:textId="77777777" w:rsidR="00004219" w:rsidRPr="007C3248" w:rsidRDefault="00004219">
            <w:pPr>
              <w:jc w:val="center"/>
              <w:rPr>
                <w:rFonts w:ascii="DeutscheBank" w:hAnsi="DeutscheBank" w:cs="Times New Roman"/>
              </w:rPr>
            </w:pPr>
          </w:p>
        </w:tc>
        <w:tc>
          <w:tcPr>
            <w:tcW w:w="3186" w:type="dxa"/>
            <w:tcBorders>
              <w:top w:val="single" w:sz="4" w:space="0" w:color="auto"/>
              <w:left w:val="single" w:sz="4" w:space="0" w:color="auto"/>
              <w:bottom w:val="single" w:sz="4" w:space="0" w:color="auto"/>
              <w:right w:val="single" w:sz="4" w:space="0" w:color="auto"/>
            </w:tcBorders>
            <w:vAlign w:val="center"/>
            <w:hideMark/>
          </w:tcPr>
          <w:p w14:paraId="18850FB0" w14:textId="5954AF9A" w:rsidR="00004219" w:rsidRPr="007C3248" w:rsidRDefault="00004219">
            <w:pPr>
              <w:rPr>
                <w:rFonts w:ascii="DeutscheBank" w:hAnsi="DeutscheBank" w:cs="Times New Roman"/>
              </w:rPr>
            </w:pPr>
            <w:r w:rsidRPr="007C3248">
              <w:rPr>
                <w:rFonts w:ascii="DeutscheBank" w:hAnsi="DeutscheBank" w:cs="Times New Roman"/>
              </w:rPr>
              <w:t xml:space="preserve">Eurex has broad powers to take any action or amend the rulebook following a market disorder event, impossibility event or force majeure event and to pass emergency resolutions in the event of extraordinary market conditions. </w:t>
            </w:r>
          </w:p>
          <w:p w14:paraId="43B780CB" w14:textId="77777777" w:rsidR="00004219" w:rsidRPr="007C3248" w:rsidRDefault="00004219">
            <w:pPr>
              <w:rPr>
                <w:rFonts w:ascii="DeutscheBank" w:hAnsi="DeutscheBank" w:cs="Times New Roman"/>
              </w:rPr>
            </w:pPr>
            <w:r w:rsidRPr="007C3248">
              <w:rPr>
                <w:rFonts w:ascii="DeutscheBank" w:hAnsi="DeutscheBank" w:cs="Times New Roman"/>
              </w:rPr>
              <w:t>This means that Eurex could in practice adopt any of the measures outlined above which are not specifically provided for explicitly in the Rulebook.</w:t>
            </w:r>
          </w:p>
        </w:tc>
      </w:tr>
      <w:tr w:rsidR="00004219" w:rsidRPr="007C3248" w14:paraId="2A8B9D6C" w14:textId="77777777" w:rsidTr="00CE445F">
        <w:trPr>
          <w:trHeight w:val="557"/>
        </w:trPr>
        <w:tc>
          <w:tcPr>
            <w:tcW w:w="1660" w:type="dxa"/>
            <w:tcBorders>
              <w:top w:val="single" w:sz="4" w:space="0" w:color="auto"/>
              <w:left w:val="single" w:sz="4" w:space="0" w:color="auto"/>
              <w:bottom w:val="single" w:sz="4" w:space="0" w:color="auto"/>
              <w:right w:val="single" w:sz="4" w:space="0" w:color="auto"/>
            </w:tcBorders>
            <w:vAlign w:val="center"/>
            <w:hideMark/>
          </w:tcPr>
          <w:p w14:paraId="0B9E524E" w14:textId="77777777" w:rsidR="00004219" w:rsidRPr="007C3248" w:rsidRDefault="00004219">
            <w:pPr>
              <w:rPr>
                <w:rFonts w:ascii="DeutscheBank" w:hAnsi="DeutscheBank" w:cs="Times New Roman"/>
                <w:b/>
                <w:bCs/>
              </w:rPr>
            </w:pPr>
            <w:r w:rsidRPr="007C3248">
              <w:rPr>
                <w:rFonts w:ascii="DeutscheBank" w:hAnsi="DeutscheBank" w:cs="Times New Roman"/>
                <w:b/>
                <w:bCs/>
              </w:rPr>
              <w:lastRenderedPageBreak/>
              <w:t>Service Closure</w:t>
            </w:r>
          </w:p>
        </w:tc>
        <w:tc>
          <w:tcPr>
            <w:tcW w:w="1848" w:type="dxa"/>
            <w:tcBorders>
              <w:top w:val="single" w:sz="4" w:space="0" w:color="auto"/>
              <w:left w:val="single" w:sz="4" w:space="0" w:color="auto"/>
              <w:bottom w:val="single" w:sz="4" w:space="0" w:color="auto"/>
              <w:right w:val="single" w:sz="4" w:space="0" w:color="auto"/>
            </w:tcBorders>
            <w:vAlign w:val="center"/>
            <w:hideMark/>
          </w:tcPr>
          <w:p w14:paraId="53C82C9D" w14:textId="77777777" w:rsidR="00004219" w:rsidRPr="007C3248" w:rsidRDefault="00004219">
            <w:pPr>
              <w:jc w:val="center"/>
              <w:rPr>
                <w:rFonts w:ascii="DeutscheBank" w:hAnsi="DeutscheBank" w:cs="Times New Roman"/>
              </w:rPr>
            </w:pPr>
            <w:r w:rsidRPr="007C3248">
              <w:rPr>
                <w:rFonts w:ascii="Segoe UI Symbol" w:hAnsi="Segoe UI Symbol" w:cs="Segoe UI Symbol"/>
                <w:b/>
                <w:bCs/>
              </w:rPr>
              <w:t>✓</w:t>
            </w:r>
          </w:p>
        </w:tc>
        <w:tc>
          <w:tcPr>
            <w:tcW w:w="2301" w:type="dxa"/>
            <w:tcBorders>
              <w:top w:val="single" w:sz="4" w:space="0" w:color="auto"/>
              <w:left w:val="single" w:sz="4" w:space="0" w:color="auto"/>
              <w:bottom w:val="single" w:sz="4" w:space="0" w:color="auto"/>
              <w:right w:val="single" w:sz="4" w:space="0" w:color="auto"/>
            </w:tcBorders>
            <w:vAlign w:val="center"/>
            <w:hideMark/>
          </w:tcPr>
          <w:p w14:paraId="4164584E" w14:textId="77777777" w:rsidR="00004219" w:rsidRPr="007C3248" w:rsidRDefault="00004219">
            <w:pPr>
              <w:rPr>
                <w:rFonts w:ascii="DeutscheBank" w:hAnsi="DeutscheBank" w:cs="Times New Roman"/>
              </w:rPr>
            </w:pPr>
            <w:r w:rsidRPr="007C3248">
              <w:rPr>
                <w:rFonts w:ascii="DeutscheBank" w:hAnsi="DeutscheBank" w:cs="Times New Roman"/>
              </w:rPr>
              <w:t>Chapter I, Part 1, Condition 13.3.1(3).</w:t>
            </w:r>
          </w:p>
        </w:tc>
        <w:tc>
          <w:tcPr>
            <w:tcW w:w="3186" w:type="dxa"/>
            <w:tcBorders>
              <w:top w:val="single" w:sz="4" w:space="0" w:color="auto"/>
              <w:left w:val="single" w:sz="4" w:space="0" w:color="auto"/>
              <w:bottom w:val="single" w:sz="4" w:space="0" w:color="auto"/>
              <w:right w:val="single" w:sz="4" w:space="0" w:color="auto"/>
            </w:tcBorders>
            <w:vAlign w:val="center"/>
            <w:hideMark/>
          </w:tcPr>
          <w:p w14:paraId="419C76F0" w14:textId="77777777" w:rsidR="00004219" w:rsidRPr="007C3248" w:rsidRDefault="00004219">
            <w:pPr>
              <w:rPr>
                <w:rFonts w:ascii="DeutscheBank" w:hAnsi="DeutscheBank" w:cs="Times New Roman"/>
              </w:rPr>
            </w:pPr>
            <w:r w:rsidRPr="007C3248">
              <w:rPr>
                <w:rFonts w:ascii="DeutscheBank" w:hAnsi="DeutscheBank" w:cs="Times New Roman"/>
              </w:rPr>
              <w:t xml:space="preserve">Eurex may suspend clearing services following a market disruption event, force majeure event or impossibility event. </w:t>
            </w:r>
          </w:p>
        </w:tc>
      </w:tr>
    </w:tbl>
    <w:p w14:paraId="4922EF9B" w14:textId="77777777" w:rsidR="00004219" w:rsidRPr="007C3248" w:rsidRDefault="00004219" w:rsidP="00004219">
      <w:pPr>
        <w:pStyle w:val="roman1"/>
        <w:numPr>
          <w:ilvl w:val="0"/>
          <w:numId w:val="0"/>
        </w:numPr>
        <w:tabs>
          <w:tab w:val="left" w:pos="720"/>
        </w:tabs>
        <w:rPr>
          <w:rFonts w:ascii="DeutscheBank" w:hAnsi="DeutscheBank"/>
          <w:sz w:val="24"/>
          <w:szCs w:val="24"/>
        </w:rPr>
      </w:pPr>
    </w:p>
    <w:p w14:paraId="6FDEF9E9" w14:textId="61175483" w:rsidR="00004219" w:rsidRPr="007C3248" w:rsidRDefault="00004219">
      <w:pPr>
        <w:spacing w:after="0" w:line="240" w:lineRule="auto"/>
        <w:jc w:val="left"/>
        <w:rPr>
          <w:rFonts w:ascii="DeutscheBank" w:hAnsi="DeutscheBank"/>
        </w:rPr>
      </w:pPr>
      <w:r w:rsidRPr="007C3248">
        <w:rPr>
          <w:rFonts w:ascii="DeutscheBank" w:hAnsi="DeutscheBank"/>
        </w:rPr>
        <w:br w:type="page"/>
      </w:r>
    </w:p>
    <w:p w14:paraId="10CEDA66" w14:textId="696D258C" w:rsidR="00004219" w:rsidRPr="007C3248" w:rsidRDefault="00004219" w:rsidP="00004219">
      <w:pPr>
        <w:pStyle w:val="Body"/>
        <w:spacing w:after="120"/>
        <w:jc w:val="center"/>
        <w:rPr>
          <w:rFonts w:ascii="DeutscheBank" w:hAnsi="DeutscheBank"/>
          <w:b/>
          <w:bCs/>
          <w:sz w:val="24"/>
          <w:szCs w:val="24"/>
        </w:rPr>
      </w:pPr>
      <w:r w:rsidRPr="007C3248">
        <w:rPr>
          <w:rFonts w:ascii="DeutscheBank" w:hAnsi="DeutscheBank"/>
          <w:b/>
          <w:bCs/>
          <w:sz w:val="24"/>
          <w:szCs w:val="24"/>
        </w:rPr>
        <w:lastRenderedPageBreak/>
        <w:t>Appendix 4 - LCH SA</w:t>
      </w:r>
    </w:p>
    <w:p w14:paraId="06037FC9" w14:textId="207A2582" w:rsidR="00004219" w:rsidRPr="007C3248" w:rsidRDefault="00934742" w:rsidP="00004219">
      <w:pPr>
        <w:pStyle w:val="Body"/>
        <w:jc w:val="left"/>
        <w:rPr>
          <w:rFonts w:ascii="DeutscheBank" w:hAnsi="DeutscheBank"/>
          <w:i/>
          <w:iCs/>
          <w:sz w:val="24"/>
          <w:szCs w:val="24"/>
        </w:rPr>
      </w:pPr>
      <w:r>
        <w:rPr>
          <w:rFonts w:ascii="DeutscheBank" w:hAnsi="DeutscheBank"/>
          <w:i/>
          <w:iCs/>
          <w:sz w:val="24"/>
          <w:szCs w:val="24"/>
        </w:rPr>
        <w:t xml:space="preserve"> </w:t>
      </w:r>
    </w:p>
    <w:p w14:paraId="29227FCC" w14:textId="5AD3AF93" w:rsidR="00004219" w:rsidRPr="007C3248" w:rsidRDefault="00004219" w:rsidP="00004219">
      <w:pPr>
        <w:pStyle w:val="Body"/>
        <w:jc w:val="left"/>
        <w:rPr>
          <w:rFonts w:ascii="DeutscheBank" w:hAnsi="DeutscheBank"/>
          <w:i/>
          <w:iCs/>
          <w:sz w:val="24"/>
          <w:szCs w:val="24"/>
        </w:rPr>
      </w:pPr>
      <w:r w:rsidRPr="007C3248">
        <w:rPr>
          <w:rFonts w:ascii="DeutscheBank" w:hAnsi="DeutscheBank"/>
          <w:sz w:val="24"/>
          <w:szCs w:val="24"/>
        </w:rPr>
        <w:t>This Appendix sets out the recovery and default tools available to, or that may be applied to, LCH SA (“</w:t>
      </w:r>
      <w:r w:rsidRPr="007C3248">
        <w:rPr>
          <w:rFonts w:ascii="DeutscheBank" w:hAnsi="DeutscheBank"/>
          <w:b/>
          <w:bCs/>
          <w:sz w:val="24"/>
          <w:szCs w:val="24"/>
        </w:rPr>
        <w:t>LCH</w:t>
      </w:r>
      <w:r w:rsidRPr="007C3248">
        <w:rPr>
          <w:rFonts w:ascii="DeutscheBank" w:hAnsi="DeutscheBank"/>
          <w:sz w:val="24"/>
          <w:szCs w:val="24"/>
        </w:rPr>
        <w:t>”) in a recovery and resolution scenario as set out in the LCH SA Clearing Rulebook published on 10 February 2023 (the “</w:t>
      </w:r>
      <w:r w:rsidRPr="007C3248">
        <w:rPr>
          <w:rFonts w:ascii="DeutscheBank" w:hAnsi="DeutscheBank"/>
          <w:b/>
          <w:bCs/>
          <w:sz w:val="24"/>
          <w:szCs w:val="24"/>
        </w:rPr>
        <w:t>Rulebook</w:t>
      </w:r>
      <w:r w:rsidRPr="007C3248">
        <w:rPr>
          <w:rFonts w:ascii="DeutscheBank" w:hAnsi="DeutscheBank"/>
          <w:sz w:val="24"/>
          <w:szCs w:val="24"/>
        </w:rPr>
        <w:t>”), the LCH SA CDS Clearing Rulebook dated 11 May 2022 (the “</w:t>
      </w:r>
      <w:r w:rsidRPr="007C3248">
        <w:rPr>
          <w:rFonts w:ascii="DeutscheBank" w:hAnsi="DeutscheBank"/>
          <w:b/>
          <w:bCs/>
          <w:sz w:val="24"/>
          <w:szCs w:val="24"/>
        </w:rPr>
        <w:t>CDS Rulebook</w:t>
      </w:r>
      <w:r w:rsidRPr="007C3248">
        <w:rPr>
          <w:rFonts w:ascii="DeutscheBank" w:hAnsi="DeutscheBank"/>
          <w:sz w:val="24"/>
          <w:szCs w:val="24"/>
        </w:rPr>
        <w:t xml:space="preserve">”) and certain other documentation published by LCH referred to in this Appendix. </w:t>
      </w:r>
    </w:p>
    <w:p w14:paraId="2B8D81C3" w14:textId="77777777" w:rsidR="00004219" w:rsidRPr="007C3248" w:rsidRDefault="00004219" w:rsidP="00004219">
      <w:pPr>
        <w:pStyle w:val="Body1"/>
        <w:ind w:left="0"/>
        <w:rPr>
          <w:rFonts w:ascii="DeutscheBank" w:hAnsi="DeutscheBank"/>
          <w:sz w:val="24"/>
          <w:szCs w:val="24"/>
        </w:rPr>
      </w:pPr>
      <w:r w:rsidRPr="007C3248">
        <w:rPr>
          <w:rFonts w:ascii="DeutscheBank" w:hAnsi="DeutscheBank"/>
          <w:sz w:val="24"/>
          <w:szCs w:val="24"/>
        </w:rPr>
        <w:t>* indicates that while this measure is not specifically contemplated in the Rulebook and/or the CDS Rulebook, subject to anything in the below table to the contrary, it is likely to be available to LCH by virtue of its general powers.</w:t>
      </w:r>
    </w:p>
    <w:tbl>
      <w:tblPr>
        <w:tblStyle w:val="TableGrid"/>
        <w:tblW w:w="8995" w:type="dxa"/>
        <w:tblLook w:val="04A0" w:firstRow="1" w:lastRow="0" w:firstColumn="1" w:lastColumn="0" w:noHBand="0" w:noVBand="1"/>
      </w:tblPr>
      <w:tblGrid>
        <w:gridCol w:w="1676"/>
        <w:gridCol w:w="1848"/>
        <w:gridCol w:w="2308"/>
        <w:gridCol w:w="3163"/>
      </w:tblGrid>
      <w:tr w:rsidR="00004219" w:rsidRPr="007C3248" w14:paraId="28862A54" w14:textId="77777777" w:rsidTr="00CE445F">
        <w:trPr>
          <w:trHeight w:val="668"/>
        </w:trPr>
        <w:tc>
          <w:tcPr>
            <w:tcW w:w="1676" w:type="dxa"/>
            <w:tcBorders>
              <w:top w:val="single" w:sz="4" w:space="0" w:color="auto"/>
              <w:left w:val="single" w:sz="4" w:space="0" w:color="auto"/>
              <w:bottom w:val="single" w:sz="4" w:space="0" w:color="auto"/>
              <w:right w:val="single" w:sz="4" w:space="0" w:color="auto"/>
            </w:tcBorders>
            <w:hideMark/>
          </w:tcPr>
          <w:p w14:paraId="6EB7E8B5"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Measure</w:t>
            </w:r>
          </w:p>
        </w:tc>
        <w:tc>
          <w:tcPr>
            <w:tcW w:w="1848" w:type="dxa"/>
            <w:tcBorders>
              <w:top w:val="single" w:sz="4" w:space="0" w:color="auto"/>
              <w:left w:val="single" w:sz="4" w:space="0" w:color="auto"/>
              <w:bottom w:val="single" w:sz="4" w:space="0" w:color="auto"/>
              <w:right w:val="single" w:sz="4" w:space="0" w:color="auto"/>
            </w:tcBorders>
            <w:hideMark/>
          </w:tcPr>
          <w:p w14:paraId="206763EA"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Contemplated in Rulebook</w:t>
            </w:r>
          </w:p>
        </w:tc>
        <w:tc>
          <w:tcPr>
            <w:tcW w:w="2308" w:type="dxa"/>
            <w:tcBorders>
              <w:top w:val="single" w:sz="4" w:space="0" w:color="auto"/>
              <w:left w:val="single" w:sz="4" w:space="0" w:color="auto"/>
              <w:bottom w:val="single" w:sz="4" w:space="0" w:color="auto"/>
              <w:right w:val="single" w:sz="4" w:space="0" w:color="auto"/>
            </w:tcBorders>
            <w:hideMark/>
          </w:tcPr>
          <w:p w14:paraId="3970BABC" w14:textId="4F81B8A0" w:rsidR="00004219" w:rsidRPr="007C3248" w:rsidRDefault="00004219">
            <w:pPr>
              <w:jc w:val="center"/>
              <w:rPr>
                <w:rFonts w:ascii="DeutscheBank" w:hAnsi="DeutscheBank" w:cs="Times New Roman"/>
                <w:b/>
                <w:bCs/>
              </w:rPr>
            </w:pPr>
            <w:r w:rsidRPr="007C3248">
              <w:rPr>
                <w:rFonts w:ascii="DeutscheBank" w:hAnsi="DeutscheBank" w:cs="Times New Roman"/>
                <w:b/>
                <w:bCs/>
              </w:rPr>
              <w:t>Rulebook Reference</w:t>
            </w:r>
          </w:p>
        </w:tc>
        <w:tc>
          <w:tcPr>
            <w:tcW w:w="3163" w:type="dxa"/>
            <w:tcBorders>
              <w:top w:val="single" w:sz="4" w:space="0" w:color="auto"/>
              <w:left w:val="single" w:sz="4" w:space="0" w:color="auto"/>
              <w:bottom w:val="single" w:sz="4" w:space="0" w:color="auto"/>
              <w:right w:val="single" w:sz="4" w:space="0" w:color="auto"/>
            </w:tcBorders>
            <w:hideMark/>
          </w:tcPr>
          <w:p w14:paraId="34B89703"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Additional Comments</w:t>
            </w:r>
          </w:p>
        </w:tc>
      </w:tr>
      <w:tr w:rsidR="00004219" w:rsidRPr="007C3248" w14:paraId="6A9C536E" w14:textId="77777777" w:rsidTr="00CE445F">
        <w:trPr>
          <w:trHeight w:val="452"/>
        </w:trPr>
        <w:tc>
          <w:tcPr>
            <w:tcW w:w="1676" w:type="dxa"/>
            <w:tcBorders>
              <w:top w:val="single" w:sz="4" w:space="0" w:color="auto"/>
              <w:left w:val="single" w:sz="4" w:space="0" w:color="auto"/>
              <w:bottom w:val="single" w:sz="4" w:space="0" w:color="auto"/>
              <w:right w:val="single" w:sz="4" w:space="0" w:color="auto"/>
            </w:tcBorders>
            <w:vAlign w:val="center"/>
          </w:tcPr>
          <w:p w14:paraId="3E12A2FF" w14:textId="77777777" w:rsidR="00004219" w:rsidRPr="007C3248" w:rsidRDefault="00004219">
            <w:pPr>
              <w:rPr>
                <w:rFonts w:ascii="DeutscheBank" w:hAnsi="DeutscheBank" w:cs="Times New Roman"/>
                <w:b/>
                <w:bCs/>
              </w:rPr>
            </w:pPr>
            <w:r w:rsidRPr="007C3248">
              <w:rPr>
                <w:rFonts w:ascii="DeutscheBank" w:hAnsi="DeutscheBank" w:cs="Times New Roman"/>
                <w:b/>
                <w:bCs/>
              </w:rPr>
              <w:t>Tear-up</w:t>
            </w:r>
          </w:p>
          <w:p w14:paraId="6C03D93D" w14:textId="77777777" w:rsidR="00004219" w:rsidRPr="007C3248" w:rsidRDefault="00004219">
            <w:pPr>
              <w:rPr>
                <w:rFonts w:ascii="DeutscheBank" w:hAnsi="DeutscheBank" w:cs="Times New Roman"/>
                <w:b/>
                <w:bCs/>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6AB1F9BC"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x*</w:t>
            </w:r>
          </w:p>
        </w:tc>
        <w:tc>
          <w:tcPr>
            <w:tcW w:w="2308" w:type="dxa"/>
            <w:tcBorders>
              <w:top w:val="single" w:sz="4" w:space="0" w:color="auto"/>
              <w:left w:val="single" w:sz="4" w:space="0" w:color="auto"/>
              <w:bottom w:val="single" w:sz="4" w:space="0" w:color="auto"/>
              <w:right w:val="single" w:sz="4" w:space="0" w:color="auto"/>
            </w:tcBorders>
            <w:vAlign w:val="center"/>
            <w:hideMark/>
          </w:tcPr>
          <w:p w14:paraId="48C695CF" w14:textId="77777777" w:rsidR="00004219" w:rsidRPr="007C3248" w:rsidRDefault="00004219">
            <w:pPr>
              <w:jc w:val="center"/>
              <w:rPr>
                <w:rFonts w:ascii="DeutscheBank" w:hAnsi="DeutscheBank" w:cs="Times New Roman"/>
              </w:rPr>
            </w:pPr>
            <w:r w:rsidRPr="007C3248">
              <w:rPr>
                <w:rFonts w:ascii="DeutscheBank" w:hAnsi="DeutscheBank" w:cs="Times New Roman"/>
              </w:rPr>
              <w:t xml:space="preserve">n/a </w:t>
            </w:r>
          </w:p>
        </w:tc>
        <w:tc>
          <w:tcPr>
            <w:tcW w:w="3163" w:type="dxa"/>
            <w:tcBorders>
              <w:top w:val="single" w:sz="4" w:space="0" w:color="auto"/>
              <w:left w:val="single" w:sz="4" w:space="0" w:color="auto"/>
              <w:bottom w:val="single" w:sz="4" w:space="0" w:color="auto"/>
              <w:right w:val="single" w:sz="4" w:space="0" w:color="auto"/>
            </w:tcBorders>
            <w:vAlign w:val="center"/>
            <w:hideMark/>
          </w:tcPr>
          <w:p w14:paraId="056E115A" w14:textId="77777777" w:rsidR="00004219" w:rsidRPr="007C3248" w:rsidRDefault="00004219">
            <w:pPr>
              <w:jc w:val="center"/>
              <w:rPr>
                <w:rFonts w:ascii="DeutscheBank" w:hAnsi="DeutscheBank" w:cs="Times New Roman"/>
              </w:rPr>
            </w:pPr>
            <w:r w:rsidRPr="007C3248">
              <w:rPr>
                <w:rFonts w:ascii="DeutscheBank" w:hAnsi="DeutscheBank" w:cs="Times New Roman"/>
              </w:rPr>
              <w:t>n/a</w:t>
            </w:r>
          </w:p>
        </w:tc>
      </w:tr>
      <w:tr w:rsidR="00004219" w:rsidRPr="007C3248" w14:paraId="20848CE7" w14:textId="77777777" w:rsidTr="00CE445F">
        <w:trPr>
          <w:trHeight w:val="341"/>
        </w:trPr>
        <w:tc>
          <w:tcPr>
            <w:tcW w:w="1676" w:type="dxa"/>
            <w:tcBorders>
              <w:top w:val="single" w:sz="4" w:space="0" w:color="auto"/>
              <w:left w:val="single" w:sz="4" w:space="0" w:color="auto"/>
              <w:bottom w:val="single" w:sz="4" w:space="0" w:color="auto"/>
              <w:right w:val="single" w:sz="4" w:space="0" w:color="auto"/>
            </w:tcBorders>
            <w:vAlign w:val="center"/>
            <w:hideMark/>
          </w:tcPr>
          <w:p w14:paraId="0A398379" w14:textId="77777777" w:rsidR="00004219" w:rsidRPr="007C3248" w:rsidRDefault="00004219">
            <w:pPr>
              <w:rPr>
                <w:rFonts w:ascii="DeutscheBank" w:hAnsi="DeutscheBank" w:cs="Times New Roman"/>
                <w:b/>
                <w:bCs/>
              </w:rPr>
            </w:pPr>
            <w:r w:rsidRPr="007C3248">
              <w:rPr>
                <w:rFonts w:ascii="DeutscheBank" w:hAnsi="DeutscheBank" w:cs="Times New Roman"/>
                <w:b/>
                <w:bCs/>
              </w:rPr>
              <w:t>Invoicing Back</w:t>
            </w:r>
          </w:p>
        </w:tc>
        <w:tc>
          <w:tcPr>
            <w:tcW w:w="1848" w:type="dxa"/>
            <w:tcBorders>
              <w:top w:val="single" w:sz="4" w:space="0" w:color="auto"/>
              <w:left w:val="single" w:sz="4" w:space="0" w:color="auto"/>
              <w:bottom w:val="single" w:sz="4" w:space="0" w:color="auto"/>
              <w:right w:val="single" w:sz="4" w:space="0" w:color="auto"/>
            </w:tcBorders>
            <w:vAlign w:val="center"/>
            <w:hideMark/>
          </w:tcPr>
          <w:p w14:paraId="5B756AA2"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x*</w:t>
            </w:r>
          </w:p>
        </w:tc>
        <w:tc>
          <w:tcPr>
            <w:tcW w:w="2308" w:type="dxa"/>
            <w:tcBorders>
              <w:top w:val="single" w:sz="4" w:space="0" w:color="auto"/>
              <w:left w:val="single" w:sz="4" w:space="0" w:color="auto"/>
              <w:bottom w:val="single" w:sz="4" w:space="0" w:color="auto"/>
              <w:right w:val="single" w:sz="4" w:space="0" w:color="auto"/>
            </w:tcBorders>
            <w:vAlign w:val="center"/>
            <w:hideMark/>
          </w:tcPr>
          <w:p w14:paraId="4288B31A" w14:textId="77777777" w:rsidR="00004219" w:rsidRPr="007C3248" w:rsidRDefault="00004219">
            <w:pPr>
              <w:jc w:val="center"/>
              <w:rPr>
                <w:rFonts w:ascii="DeutscheBank" w:hAnsi="DeutscheBank" w:cs="Times New Roman"/>
              </w:rPr>
            </w:pPr>
            <w:r w:rsidRPr="007C3248">
              <w:rPr>
                <w:rFonts w:ascii="DeutscheBank" w:hAnsi="DeutscheBank" w:cs="Times New Roman"/>
              </w:rPr>
              <w:t>n/a</w:t>
            </w:r>
          </w:p>
        </w:tc>
        <w:tc>
          <w:tcPr>
            <w:tcW w:w="3163" w:type="dxa"/>
            <w:tcBorders>
              <w:top w:val="single" w:sz="4" w:space="0" w:color="auto"/>
              <w:left w:val="single" w:sz="4" w:space="0" w:color="auto"/>
              <w:bottom w:val="single" w:sz="4" w:space="0" w:color="auto"/>
              <w:right w:val="single" w:sz="4" w:space="0" w:color="auto"/>
            </w:tcBorders>
            <w:vAlign w:val="center"/>
            <w:hideMark/>
          </w:tcPr>
          <w:p w14:paraId="114BB5A7" w14:textId="77777777" w:rsidR="00004219" w:rsidRPr="007C3248" w:rsidRDefault="00004219">
            <w:pPr>
              <w:jc w:val="center"/>
              <w:rPr>
                <w:rFonts w:ascii="DeutscheBank" w:hAnsi="DeutscheBank" w:cs="Times New Roman"/>
              </w:rPr>
            </w:pPr>
            <w:r w:rsidRPr="007C3248">
              <w:rPr>
                <w:rFonts w:ascii="DeutscheBank" w:hAnsi="DeutscheBank" w:cs="Times New Roman"/>
              </w:rPr>
              <w:t>n/a</w:t>
            </w:r>
          </w:p>
        </w:tc>
      </w:tr>
      <w:tr w:rsidR="00004219" w:rsidRPr="007C3248" w14:paraId="4F5F5278" w14:textId="77777777" w:rsidTr="00CE445F">
        <w:trPr>
          <w:trHeight w:val="710"/>
        </w:trPr>
        <w:tc>
          <w:tcPr>
            <w:tcW w:w="1676" w:type="dxa"/>
            <w:tcBorders>
              <w:top w:val="single" w:sz="4" w:space="0" w:color="auto"/>
              <w:left w:val="single" w:sz="4" w:space="0" w:color="auto"/>
              <w:bottom w:val="single" w:sz="4" w:space="0" w:color="auto"/>
              <w:right w:val="single" w:sz="4" w:space="0" w:color="auto"/>
            </w:tcBorders>
            <w:vAlign w:val="center"/>
            <w:hideMark/>
          </w:tcPr>
          <w:p w14:paraId="65400377" w14:textId="77777777" w:rsidR="00004219" w:rsidRPr="007C3248" w:rsidRDefault="00004219">
            <w:pPr>
              <w:rPr>
                <w:rFonts w:ascii="DeutscheBank" w:hAnsi="DeutscheBank" w:cs="Times New Roman"/>
                <w:b/>
                <w:bCs/>
              </w:rPr>
            </w:pPr>
            <w:r w:rsidRPr="007C3248">
              <w:rPr>
                <w:rFonts w:ascii="DeutscheBank" w:hAnsi="DeutscheBank" w:cs="Times New Roman"/>
                <w:b/>
                <w:bCs/>
              </w:rPr>
              <w:t>Variation Margin Gains Haircutting (VMGH)</w:t>
            </w:r>
          </w:p>
        </w:tc>
        <w:tc>
          <w:tcPr>
            <w:tcW w:w="1848" w:type="dxa"/>
            <w:tcBorders>
              <w:top w:val="single" w:sz="4" w:space="0" w:color="auto"/>
              <w:left w:val="single" w:sz="4" w:space="0" w:color="auto"/>
              <w:bottom w:val="single" w:sz="4" w:space="0" w:color="auto"/>
              <w:right w:val="single" w:sz="4" w:space="0" w:color="auto"/>
            </w:tcBorders>
            <w:vAlign w:val="center"/>
            <w:hideMark/>
          </w:tcPr>
          <w:p w14:paraId="63D1C937" w14:textId="77777777" w:rsidR="00004219" w:rsidRPr="007C3248" w:rsidRDefault="00004219">
            <w:pPr>
              <w:jc w:val="center"/>
              <w:rPr>
                <w:rFonts w:ascii="DeutscheBank" w:hAnsi="DeutscheBank" w:cs="Times New Roman"/>
                <w:b/>
                <w:bCs/>
              </w:rPr>
            </w:pPr>
            <w:r w:rsidRPr="007C3248">
              <w:rPr>
                <w:rFonts w:ascii="DeutscheBank" w:hAnsi="DeutscheBank" w:cs="Times New Roman"/>
              </w:rPr>
              <w:t>CDS Rulebook only</w:t>
            </w:r>
            <w:r w:rsidRPr="007C3248">
              <w:rPr>
                <w:rFonts w:ascii="DeutscheBank" w:hAnsi="DeutscheBank" w:cs="Times New Roman"/>
                <w:b/>
                <w:bCs/>
              </w:rPr>
              <w:t>*</w:t>
            </w:r>
          </w:p>
        </w:tc>
        <w:tc>
          <w:tcPr>
            <w:tcW w:w="2308" w:type="dxa"/>
            <w:tcBorders>
              <w:top w:val="single" w:sz="4" w:space="0" w:color="auto"/>
              <w:left w:val="single" w:sz="4" w:space="0" w:color="auto"/>
              <w:bottom w:val="single" w:sz="4" w:space="0" w:color="auto"/>
              <w:right w:val="single" w:sz="4" w:space="0" w:color="auto"/>
            </w:tcBorders>
            <w:vAlign w:val="center"/>
            <w:hideMark/>
          </w:tcPr>
          <w:p w14:paraId="02212CC9" w14:textId="77777777" w:rsidR="00004219" w:rsidRPr="007C3248" w:rsidRDefault="00004219">
            <w:pPr>
              <w:jc w:val="center"/>
              <w:rPr>
                <w:rFonts w:ascii="DeutscheBank" w:hAnsi="DeutscheBank" w:cs="Times New Roman"/>
              </w:rPr>
            </w:pPr>
            <w:r w:rsidRPr="007C3248">
              <w:rPr>
                <w:rFonts w:ascii="DeutscheBank" w:hAnsi="DeutscheBank" w:cs="Times New Roman"/>
              </w:rPr>
              <w:t>Appendix 1, Clause 7, CDS Rulebook</w:t>
            </w:r>
          </w:p>
        </w:tc>
        <w:tc>
          <w:tcPr>
            <w:tcW w:w="3163" w:type="dxa"/>
            <w:tcBorders>
              <w:top w:val="single" w:sz="4" w:space="0" w:color="auto"/>
              <w:left w:val="single" w:sz="4" w:space="0" w:color="auto"/>
              <w:bottom w:val="single" w:sz="4" w:space="0" w:color="auto"/>
              <w:right w:val="single" w:sz="4" w:space="0" w:color="auto"/>
            </w:tcBorders>
            <w:vAlign w:val="center"/>
            <w:hideMark/>
          </w:tcPr>
          <w:p w14:paraId="4DBFBA6A" w14:textId="77777777" w:rsidR="00004219" w:rsidRPr="007C3248" w:rsidRDefault="00004219">
            <w:pPr>
              <w:jc w:val="center"/>
              <w:rPr>
                <w:rFonts w:ascii="DeutscheBank" w:hAnsi="DeutscheBank" w:cs="Times New Roman"/>
              </w:rPr>
            </w:pPr>
            <w:r w:rsidRPr="007C3248">
              <w:rPr>
                <w:rFonts w:ascii="DeutscheBank" w:hAnsi="DeutscheBank" w:cs="Times New Roman"/>
              </w:rPr>
              <w:t>-</w:t>
            </w:r>
          </w:p>
        </w:tc>
      </w:tr>
      <w:tr w:rsidR="00004219" w:rsidRPr="007C3248" w14:paraId="2DEC09E8" w14:textId="77777777" w:rsidTr="00CE445F">
        <w:trPr>
          <w:trHeight w:val="1325"/>
        </w:trPr>
        <w:tc>
          <w:tcPr>
            <w:tcW w:w="1676" w:type="dxa"/>
            <w:tcBorders>
              <w:top w:val="single" w:sz="4" w:space="0" w:color="auto"/>
              <w:left w:val="single" w:sz="4" w:space="0" w:color="auto"/>
              <w:bottom w:val="single" w:sz="4" w:space="0" w:color="auto"/>
              <w:right w:val="single" w:sz="4" w:space="0" w:color="auto"/>
            </w:tcBorders>
            <w:vAlign w:val="center"/>
            <w:hideMark/>
          </w:tcPr>
          <w:p w14:paraId="6DAFA7E5" w14:textId="77777777" w:rsidR="00004219" w:rsidRPr="007C3248" w:rsidRDefault="00004219">
            <w:pPr>
              <w:rPr>
                <w:rFonts w:ascii="DeutscheBank" w:hAnsi="DeutscheBank" w:cs="Times New Roman"/>
                <w:b/>
                <w:bCs/>
              </w:rPr>
            </w:pPr>
            <w:r w:rsidRPr="007C3248">
              <w:rPr>
                <w:rFonts w:ascii="DeutscheBank" w:hAnsi="DeutscheBank" w:cs="Times New Roman"/>
                <w:b/>
                <w:bCs/>
              </w:rPr>
              <w:t>Changes to Margin Criteria</w:t>
            </w:r>
          </w:p>
        </w:tc>
        <w:tc>
          <w:tcPr>
            <w:tcW w:w="1848" w:type="dxa"/>
            <w:tcBorders>
              <w:top w:val="single" w:sz="4" w:space="0" w:color="auto"/>
              <w:left w:val="single" w:sz="4" w:space="0" w:color="auto"/>
              <w:bottom w:val="single" w:sz="4" w:space="0" w:color="auto"/>
              <w:right w:val="single" w:sz="4" w:space="0" w:color="auto"/>
            </w:tcBorders>
            <w:vAlign w:val="center"/>
            <w:hideMark/>
          </w:tcPr>
          <w:p w14:paraId="06C8E0AD" w14:textId="77777777" w:rsidR="00004219" w:rsidRPr="007C3248" w:rsidRDefault="00004219">
            <w:pPr>
              <w:jc w:val="center"/>
              <w:rPr>
                <w:rFonts w:ascii="DeutscheBank" w:hAnsi="DeutscheBank" w:cs="Times New Roman"/>
                <w:b/>
                <w:bCs/>
              </w:rPr>
            </w:pPr>
            <w:r w:rsidRPr="007C3248">
              <w:rPr>
                <w:rFonts w:ascii="Segoe UI Symbol" w:hAnsi="Segoe UI Symbol" w:cs="Segoe UI Symbol"/>
                <w:b/>
                <w:bCs/>
              </w:rPr>
              <w:t>✓</w:t>
            </w:r>
          </w:p>
        </w:tc>
        <w:tc>
          <w:tcPr>
            <w:tcW w:w="2308" w:type="dxa"/>
            <w:tcBorders>
              <w:top w:val="single" w:sz="4" w:space="0" w:color="auto"/>
              <w:left w:val="single" w:sz="4" w:space="0" w:color="auto"/>
              <w:bottom w:val="single" w:sz="4" w:space="0" w:color="auto"/>
              <w:right w:val="single" w:sz="4" w:space="0" w:color="auto"/>
            </w:tcBorders>
            <w:vAlign w:val="center"/>
            <w:hideMark/>
          </w:tcPr>
          <w:p w14:paraId="635FF049" w14:textId="77777777" w:rsidR="00004219" w:rsidRPr="007C3248" w:rsidRDefault="00004219">
            <w:pPr>
              <w:rPr>
                <w:rFonts w:ascii="DeutscheBank" w:hAnsi="DeutscheBank" w:cs="Times New Roman"/>
              </w:rPr>
            </w:pPr>
            <w:r w:rsidRPr="007C3248">
              <w:rPr>
                <w:rFonts w:ascii="DeutscheBank" w:hAnsi="DeutscheBank" w:cs="Times New Roman"/>
              </w:rPr>
              <w:t>Articles 4.2.03 and 4.2.0.4 of the Rulebook and Articles 8, 13, 20 and 48 of Instruction IV. 4-1.</w:t>
            </w:r>
          </w:p>
          <w:p w14:paraId="72921D7F" w14:textId="77777777" w:rsidR="00004219" w:rsidRPr="007C3248" w:rsidRDefault="00004219">
            <w:pPr>
              <w:rPr>
                <w:rFonts w:ascii="DeutscheBank" w:hAnsi="DeutscheBank" w:cs="Times New Roman"/>
              </w:rPr>
            </w:pPr>
            <w:r w:rsidRPr="007C3248">
              <w:rPr>
                <w:rFonts w:ascii="DeutscheBank" w:hAnsi="DeutscheBank" w:cs="Times New Roman"/>
              </w:rPr>
              <w:t>Articles 4.2.1.2, 4.2.6.1 and 4.2.6.4 of the CDS Rulebook.</w:t>
            </w:r>
          </w:p>
        </w:tc>
        <w:tc>
          <w:tcPr>
            <w:tcW w:w="3163" w:type="dxa"/>
            <w:tcBorders>
              <w:top w:val="single" w:sz="4" w:space="0" w:color="auto"/>
              <w:left w:val="single" w:sz="4" w:space="0" w:color="auto"/>
              <w:bottom w:val="single" w:sz="4" w:space="0" w:color="auto"/>
              <w:right w:val="single" w:sz="4" w:space="0" w:color="auto"/>
            </w:tcBorders>
            <w:vAlign w:val="center"/>
            <w:hideMark/>
          </w:tcPr>
          <w:p w14:paraId="6A829070" w14:textId="77777777" w:rsidR="00004219" w:rsidRPr="007C3248" w:rsidRDefault="00004219">
            <w:pPr>
              <w:rPr>
                <w:rFonts w:ascii="DeutscheBank" w:hAnsi="DeutscheBank" w:cs="Times New Roman"/>
                <w:highlight w:val="green"/>
              </w:rPr>
            </w:pPr>
            <w:r w:rsidRPr="007C3248">
              <w:rPr>
                <w:rFonts w:ascii="DeutscheBank" w:hAnsi="DeutscheBank" w:cs="Times New Roman"/>
              </w:rPr>
              <w:t>LCH has broad powers to amend its margin criteria, including the amount of margin it calls for, what constitutes eligible margin and haircuts applicable to margin.</w:t>
            </w:r>
          </w:p>
        </w:tc>
      </w:tr>
      <w:tr w:rsidR="00004219" w:rsidRPr="007C3248" w14:paraId="024A2ACC" w14:textId="77777777" w:rsidTr="00CE445F">
        <w:trPr>
          <w:trHeight w:val="544"/>
        </w:trPr>
        <w:tc>
          <w:tcPr>
            <w:tcW w:w="1676" w:type="dxa"/>
            <w:tcBorders>
              <w:top w:val="single" w:sz="4" w:space="0" w:color="auto"/>
              <w:left w:val="single" w:sz="4" w:space="0" w:color="auto"/>
              <w:bottom w:val="single" w:sz="4" w:space="0" w:color="auto"/>
              <w:right w:val="single" w:sz="4" w:space="0" w:color="auto"/>
            </w:tcBorders>
            <w:vAlign w:val="center"/>
            <w:hideMark/>
          </w:tcPr>
          <w:p w14:paraId="5344CE5D" w14:textId="77777777" w:rsidR="00004219" w:rsidRPr="007C3248" w:rsidRDefault="00004219">
            <w:pPr>
              <w:rPr>
                <w:rFonts w:ascii="DeutscheBank" w:hAnsi="DeutscheBank" w:cs="Times New Roman"/>
                <w:b/>
                <w:bCs/>
              </w:rPr>
            </w:pPr>
            <w:r w:rsidRPr="007C3248">
              <w:rPr>
                <w:rFonts w:ascii="DeutscheBank" w:hAnsi="DeutscheBank" w:cs="Times New Roman"/>
                <w:b/>
                <w:bCs/>
              </w:rPr>
              <w:lastRenderedPageBreak/>
              <w:t>Contingent Variation Margin</w:t>
            </w:r>
          </w:p>
        </w:tc>
        <w:tc>
          <w:tcPr>
            <w:tcW w:w="1848" w:type="dxa"/>
            <w:tcBorders>
              <w:top w:val="single" w:sz="4" w:space="0" w:color="auto"/>
              <w:left w:val="single" w:sz="4" w:space="0" w:color="auto"/>
              <w:bottom w:val="single" w:sz="4" w:space="0" w:color="auto"/>
              <w:right w:val="single" w:sz="4" w:space="0" w:color="auto"/>
            </w:tcBorders>
            <w:vAlign w:val="center"/>
            <w:hideMark/>
          </w:tcPr>
          <w:p w14:paraId="11ADB1C3"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x*</w:t>
            </w:r>
          </w:p>
        </w:tc>
        <w:tc>
          <w:tcPr>
            <w:tcW w:w="2308" w:type="dxa"/>
            <w:tcBorders>
              <w:top w:val="single" w:sz="4" w:space="0" w:color="auto"/>
              <w:left w:val="single" w:sz="4" w:space="0" w:color="auto"/>
              <w:bottom w:val="single" w:sz="4" w:space="0" w:color="auto"/>
              <w:right w:val="single" w:sz="4" w:space="0" w:color="auto"/>
            </w:tcBorders>
            <w:vAlign w:val="center"/>
            <w:hideMark/>
          </w:tcPr>
          <w:p w14:paraId="4F892F80" w14:textId="77777777" w:rsidR="00004219" w:rsidRPr="007C3248" w:rsidRDefault="00004219">
            <w:pPr>
              <w:jc w:val="center"/>
              <w:rPr>
                <w:rFonts w:ascii="DeutscheBank" w:hAnsi="DeutscheBank" w:cs="Times New Roman"/>
              </w:rPr>
            </w:pPr>
            <w:r w:rsidRPr="007C3248">
              <w:rPr>
                <w:rFonts w:ascii="DeutscheBank" w:hAnsi="DeutscheBank" w:cs="Times New Roman"/>
              </w:rPr>
              <w:t>n/a</w:t>
            </w:r>
          </w:p>
        </w:tc>
        <w:tc>
          <w:tcPr>
            <w:tcW w:w="3163" w:type="dxa"/>
            <w:tcBorders>
              <w:top w:val="single" w:sz="4" w:space="0" w:color="auto"/>
              <w:left w:val="single" w:sz="4" w:space="0" w:color="auto"/>
              <w:bottom w:val="single" w:sz="4" w:space="0" w:color="auto"/>
              <w:right w:val="single" w:sz="4" w:space="0" w:color="auto"/>
            </w:tcBorders>
            <w:vAlign w:val="center"/>
            <w:hideMark/>
          </w:tcPr>
          <w:p w14:paraId="5CF01B0A" w14:textId="77777777" w:rsidR="00004219" w:rsidRPr="007C3248" w:rsidRDefault="00004219">
            <w:pPr>
              <w:jc w:val="center"/>
              <w:rPr>
                <w:rFonts w:ascii="DeutscheBank" w:hAnsi="DeutscheBank" w:cs="Times New Roman"/>
              </w:rPr>
            </w:pPr>
            <w:r w:rsidRPr="007C3248">
              <w:rPr>
                <w:rFonts w:ascii="DeutscheBank" w:hAnsi="DeutscheBank" w:cs="Times New Roman"/>
              </w:rPr>
              <w:t>n/a</w:t>
            </w:r>
          </w:p>
        </w:tc>
      </w:tr>
      <w:tr w:rsidR="00004219" w:rsidRPr="007C3248" w14:paraId="382DA384" w14:textId="77777777" w:rsidTr="00CE445F">
        <w:trPr>
          <w:trHeight w:val="544"/>
        </w:trPr>
        <w:tc>
          <w:tcPr>
            <w:tcW w:w="1676" w:type="dxa"/>
            <w:tcBorders>
              <w:top w:val="single" w:sz="4" w:space="0" w:color="auto"/>
              <w:left w:val="single" w:sz="4" w:space="0" w:color="auto"/>
              <w:bottom w:val="single" w:sz="4" w:space="0" w:color="auto"/>
              <w:right w:val="single" w:sz="4" w:space="0" w:color="auto"/>
            </w:tcBorders>
            <w:vAlign w:val="center"/>
            <w:hideMark/>
          </w:tcPr>
          <w:p w14:paraId="7258979E" w14:textId="77777777" w:rsidR="00004219" w:rsidRPr="007C3248" w:rsidRDefault="00004219">
            <w:pPr>
              <w:rPr>
                <w:rFonts w:ascii="DeutscheBank" w:hAnsi="DeutscheBank" w:cs="Times New Roman"/>
                <w:b/>
                <w:bCs/>
              </w:rPr>
            </w:pPr>
            <w:r w:rsidRPr="007C3248">
              <w:rPr>
                <w:rFonts w:ascii="DeutscheBank" w:hAnsi="DeutscheBank" w:cs="Times New Roman"/>
                <w:b/>
                <w:bCs/>
              </w:rPr>
              <w:t>Emergency Powers</w:t>
            </w:r>
          </w:p>
        </w:tc>
        <w:tc>
          <w:tcPr>
            <w:tcW w:w="1848" w:type="dxa"/>
            <w:tcBorders>
              <w:top w:val="single" w:sz="4" w:space="0" w:color="auto"/>
              <w:left w:val="single" w:sz="4" w:space="0" w:color="auto"/>
              <w:bottom w:val="single" w:sz="4" w:space="0" w:color="auto"/>
              <w:right w:val="single" w:sz="4" w:space="0" w:color="auto"/>
            </w:tcBorders>
            <w:vAlign w:val="center"/>
            <w:hideMark/>
          </w:tcPr>
          <w:p w14:paraId="4BBD7B7E" w14:textId="77777777" w:rsidR="00004219" w:rsidRPr="007C3248" w:rsidRDefault="00004219">
            <w:pPr>
              <w:jc w:val="center"/>
              <w:rPr>
                <w:rFonts w:ascii="DeutscheBank" w:hAnsi="DeutscheBank" w:cs="Times New Roman"/>
                <w:b/>
                <w:bCs/>
              </w:rPr>
            </w:pPr>
            <w:r w:rsidRPr="007C3248">
              <w:rPr>
                <w:rFonts w:ascii="Segoe UI Symbol" w:hAnsi="Segoe UI Symbol" w:cs="Segoe UI Symbol"/>
                <w:b/>
                <w:bCs/>
              </w:rPr>
              <w:t>✓</w:t>
            </w:r>
          </w:p>
        </w:tc>
        <w:tc>
          <w:tcPr>
            <w:tcW w:w="2308" w:type="dxa"/>
            <w:tcBorders>
              <w:top w:val="single" w:sz="4" w:space="0" w:color="auto"/>
              <w:left w:val="single" w:sz="4" w:space="0" w:color="auto"/>
              <w:bottom w:val="single" w:sz="4" w:space="0" w:color="auto"/>
              <w:right w:val="single" w:sz="4" w:space="0" w:color="auto"/>
            </w:tcBorders>
            <w:vAlign w:val="center"/>
            <w:hideMark/>
          </w:tcPr>
          <w:p w14:paraId="3F375B54" w14:textId="77777777" w:rsidR="00004219" w:rsidRPr="007C3248" w:rsidRDefault="00004219">
            <w:pPr>
              <w:rPr>
                <w:rFonts w:ascii="DeutscheBank" w:hAnsi="DeutscheBank" w:cs="Times New Roman"/>
              </w:rPr>
            </w:pPr>
            <w:r w:rsidRPr="007C3248">
              <w:rPr>
                <w:rFonts w:ascii="DeutscheBank" w:hAnsi="DeutscheBank" w:cs="Times New Roman"/>
              </w:rPr>
              <w:t>Article 1.3.3.13 of the Rulebook</w:t>
            </w:r>
          </w:p>
          <w:p w14:paraId="49B77517" w14:textId="77777777" w:rsidR="00004219" w:rsidRPr="007C3248" w:rsidRDefault="00004219">
            <w:pPr>
              <w:rPr>
                <w:rFonts w:ascii="DeutscheBank" w:hAnsi="DeutscheBank" w:cs="Times New Roman"/>
              </w:rPr>
            </w:pPr>
            <w:r w:rsidRPr="007C3248">
              <w:rPr>
                <w:rFonts w:ascii="DeutscheBank" w:hAnsi="DeutscheBank" w:cs="Times New Roman"/>
              </w:rPr>
              <w:t>Article 5, Instruction I.2-1</w:t>
            </w:r>
          </w:p>
          <w:p w14:paraId="1E13C973" w14:textId="77777777" w:rsidR="00004219" w:rsidRPr="007C3248" w:rsidRDefault="00004219">
            <w:pPr>
              <w:rPr>
                <w:rFonts w:ascii="DeutscheBank" w:hAnsi="DeutscheBank" w:cs="Times New Roman"/>
              </w:rPr>
            </w:pPr>
            <w:r w:rsidRPr="007C3248">
              <w:rPr>
                <w:rFonts w:ascii="DeutscheBank" w:hAnsi="DeutscheBank" w:cs="Times New Roman"/>
              </w:rPr>
              <w:t>Paragraph 5.2 of the Clearing Agreement</w:t>
            </w:r>
          </w:p>
          <w:p w14:paraId="78240F4D" w14:textId="77777777" w:rsidR="00004219" w:rsidRPr="007C3248" w:rsidRDefault="00004219">
            <w:pPr>
              <w:rPr>
                <w:rFonts w:ascii="DeutscheBank" w:hAnsi="DeutscheBank" w:cs="Times New Roman"/>
              </w:rPr>
            </w:pPr>
            <w:r w:rsidRPr="007C3248">
              <w:rPr>
                <w:rFonts w:ascii="DeutscheBank" w:hAnsi="DeutscheBank" w:cs="Times New Roman"/>
              </w:rPr>
              <w:t>Article 1.2.2.4 of the CDS Rulebook</w:t>
            </w:r>
          </w:p>
        </w:tc>
        <w:tc>
          <w:tcPr>
            <w:tcW w:w="3163" w:type="dxa"/>
            <w:tcBorders>
              <w:top w:val="single" w:sz="4" w:space="0" w:color="auto"/>
              <w:left w:val="single" w:sz="4" w:space="0" w:color="auto"/>
              <w:bottom w:val="single" w:sz="4" w:space="0" w:color="auto"/>
              <w:right w:val="single" w:sz="4" w:space="0" w:color="auto"/>
            </w:tcBorders>
            <w:vAlign w:val="center"/>
            <w:hideMark/>
          </w:tcPr>
          <w:p w14:paraId="1A6BE49A" w14:textId="1C1A46B8" w:rsidR="00004219" w:rsidRPr="007C3248" w:rsidRDefault="00004219">
            <w:pPr>
              <w:rPr>
                <w:rFonts w:ascii="DeutscheBank" w:hAnsi="DeutscheBank" w:cs="Times New Roman"/>
              </w:rPr>
            </w:pPr>
            <w:r w:rsidRPr="007C3248">
              <w:rPr>
                <w:rFonts w:ascii="DeutscheBank" w:hAnsi="DeutscheBank" w:cs="Times New Roman"/>
              </w:rPr>
              <w:t>In</w:t>
            </w:r>
            <w:r w:rsidR="00CE445F">
              <w:rPr>
                <w:rFonts w:ascii="DeutscheBank" w:hAnsi="DeutscheBank" w:cs="Times New Roman"/>
              </w:rPr>
              <w:t xml:space="preserve"> </w:t>
            </w:r>
            <w:r w:rsidRPr="007C3248">
              <w:rPr>
                <w:rFonts w:ascii="DeutscheBank" w:hAnsi="DeutscheBank" w:cs="Times New Roman"/>
              </w:rPr>
              <w:t>an emergency situation, LCH may take various measures (including amending its rules) on little or no notice. This means that LCH could in practice adopt any of the measures outlined above which are not specifically provided for explicitly in the Rulebook.</w:t>
            </w:r>
          </w:p>
        </w:tc>
      </w:tr>
      <w:tr w:rsidR="00004219" w:rsidRPr="007C3248" w14:paraId="726C0679" w14:textId="77777777" w:rsidTr="00CE445F">
        <w:trPr>
          <w:trHeight w:val="557"/>
        </w:trPr>
        <w:tc>
          <w:tcPr>
            <w:tcW w:w="1676" w:type="dxa"/>
            <w:tcBorders>
              <w:top w:val="single" w:sz="4" w:space="0" w:color="auto"/>
              <w:left w:val="single" w:sz="4" w:space="0" w:color="auto"/>
              <w:bottom w:val="single" w:sz="4" w:space="0" w:color="auto"/>
              <w:right w:val="single" w:sz="4" w:space="0" w:color="auto"/>
            </w:tcBorders>
            <w:vAlign w:val="center"/>
            <w:hideMark/>
          </w:tcPr>
          <w:p w14:paraId="49E6C1F0" w14:textId="77777777" w:rsidR="00004219" w:rsidRPr="007C3248" w:rsidRDefault="00004219">
            <w:pPr>
              <w:rPr>
                <w:rFonts w:ascii="DeutscheBank" w:hAnsi="DeutscheBank" w:cs="Times New Roman"/>
                <w:b/>
                <w:bCs/>
              </w:rPr>
            </w:pPr>
            <w:r w:rsidRPr="007C3248">
              <w:rPr>
                <w:rFonts w:ascii="DeutscheBank" w:hAnsi="DeutscheBank" w:cs="Times New Roman"/>
                <w:b/>
                <w:bCs/>
              </w:rPr>
              <w:t>Service Closure</w:t>
            </w:r>
          </w:p>
        </w:tc>
        <w:tc>
          <w:tcPr>
            <w:tcW w:w="1848" w:type="dxa"/>
            <w:tcBorders>
              <w:top w:val="single" w:sz="4" w:space="0" w:color="auto"/>
              <w:left w:val="single" w:sz="4" w:space="0" w:color="auto"/>
              <w:bottom w:val="single" w:sz="4" w:space="0" w:color="auto"/>
              <w:right w:val="single" w:sz="4" w:space="0" w:color="auto"/>
            </w:tcBorders>
            <w:vAlign w:val="center"/>
            <w:hideMark/>
          </w:tcPr>
          <w:p w14:paraId="34AAFCDD" w14:textId="77777777" w:rsidR="00004219" w:rsidRPr="007C3248" w:rsidRDefault="00004219">
            <w:pPr>
              <w:jc w:val="center"/>
              <w:rPr>
                <w:rFonts w:ascii="DeutscheBank" w:hAnsi="DeutscheBank" w:cs="Times New Roman"/>
              </w:rPr>
            </w:pPr>
            <w:r w:rsidRPr="007C3248">
              <w:rPr>
                <w:rFonts w:ascii="Segoe UI Symbol" w:hAnsi="Segoe UI Symbol" w:cs="Segoe UI Symbol"/>
                <w:b/>
                <w:bCs/>
              </w:rPr>
              <w:t>✓</w:t>
            </w:r>
          </w:p>
        </w:tc>
        <w:tc>
          <w:tcPr>
            <w:tcW w:w="2308" w:type="dxa"/>
            <w:tcBorders>
              <w:top w:val="single" w:sz="4" w:space="0" w:color="auto"/>
              <w:left w:val="single" w:sz="4" w:space="0" w:color="auto"/>
              <w:bottom w:val="single" w:sz="4" w:space="0" w:color="auto"/>
              <w:right w:val="single" w:sz="4" w:space="0" w:color="auto"/>
            </w:tcBorders>
            <w:vAlign w:val="center"/>
            <w:hideMark/>
          </w:tcPr>
          <w:p w14:paraId="1EB37A9C" w14:textId="77777777" w:rsidR="00004219" w:rsidRPr="007C3248" w:rsidRDefault="00004219">
            <w:pPr>
              <w:rPr>
                <w:rFonts w:ascii="DeutscheBank" w:hAnsi="DeutscheBank" w:cs="Times New Roman"/>
              </w:rPr>
            </w:pPr>
            <w:r w:rsidRPr="007C3248">
              <w:rPr>
                <w:rFonts w:ascii="DeutscheBank" w:hAnsi="DeutscheBank" w:cs="Times New Roman"/>
              </w:rPr>
              <w:t>Article 1.6.1.1 of the Rulebook, Article 7 of Instruction IV.5-3 and Article 7 of Instruction IV.5-5.</w:t>
            </w:r>
          </w:p>
          <w:p w14:paraId="667381B8" w14:textId="77777777" w:rsidR="00004219" w:rsidRPr="007C3248" w:rsidRDefault="00004219">
            <w:pPr>
              <w:rPr>
                <w:rFonts w:ascii="DeutscheBank" w:hAnsi="DeutscheBank" w:cs="Times New Roman"/>
              </w:rPr>
            </w:pPr>
            <w:r w:rsidRPr="007C3248">
              <w:rPr>
                <w:rFonts w:ascii="DeutscheBank" w:hAnsi="DeutscheBank" w:cs="Times New Roman"/>
              </w:rPr>
              <w:t>Section 2.4.3 of the CDS Rulebook</w:t>
            </w:r>
          </w:p>
        </w:tc>
        <w:tc>
          <w:tcPr>
            <w:tcW w:w="3163" w:type="dxa"/>
            <w:tcBorders>
              <w:top w:val="single" w:sz="4" w:space="0" w:color="auto"/>
              <w:left w:val="single" w:sz="4" w:space="0" w:color="auto"/>
              <w:bottom w:val="single" w:sz="4" w:space="0" w:color="auto"/>
              <w:right w:val="single" w:sz="4" w:space="0" w:color="auto"/>
            </w:tcBorders>
            <w:vAlign w:val="center"/>
            <w:hideMark/>
          </w:tcPr>
          <w:p w14:paraId="784461E2" w14:textId="77777777" w:rsidR="00004219" w:rsidRPr="007C3248" w:rsidRDefault="00004219">
            <w:pPr>
              <w:jc w:val="center"/>
              <w:rPr>
                <w:rFonts w:ascii="DeutscheBank" w:hAnsi="DeutscheBank" w:cs="Times New Roman"/>
              </w:rPr>
            </w:pPr>
            <w:r w:rsidRPr="007C3248">
              <w:rPr>
                <w:rFonts w:ascii="DeutscheBank" w:hAnsi="DeutscheBank" w:cs="Times New Roman"/>
              </w:rPr>
              <w:t>-</w:t>
            </w:r>
          </w:p>
        </w:tc>
      </w:tr>
    </w:tbl>
    <w:p w14:paraId="5712111C" w14:textId="490086E0" w:rsidR="00004219" w:rsidRPr="007C3248" w:rsidRDefault="00004219" w:rsidP="00C441BC">
      <w:pPr>
        <w:spacing w:after="0" w:line="240" w:lineRule="auto"/>
        <w:jc w:val="left"/>
        <w:rPr>
          <w:rFonts w:ascii="DeutscheBank" w:hAnsi="DeutscheBank"/>
        </w:rPr>
      </w:pPr>
    </w:p>
    <w:p w14:paraId="34431C83" w14:textId="77777777" w:rsidR="00004219" w:rsidRPr="007C3248" w:rsidRDefault="00004219">
      <w:pPr>
        <w:spacing w:after="0" w:line="240" w:lineRule="auto"/>
        <w:jc w:val="left"/>
        <w:rPr>
          <w:rFonts w:ascii="DeutscheBank" w:hAnsi="DeutscheBank"/>
        </w:rPr>
      </w:pPr>
      <w:r w:rsidRPr="007C3248">
        <w:rPr>
          <w:rFonts w:ascii="DeutscheBank" w:hAnsi="DeutscheBank"/>
        </w:rPr>
        <w:br w:type="page"/>
      </w:r>
    </w:p>
    <w:p w14:paraId="13C3E02F" w14:textId="1A44D133" w:rsidR="00004219" w:rsidRPr="007C3248" w:rsidRDefault="00004219" w:rsidP="00004219">
      <w:pPr>
        <w:pStyle w:val="Body"/>
        <w:spacing w:after="120"/>
        <w:jc w:val="center"/>
        <w:rPr>
          <w:rFonts w:ascii="DeutscheBank" w:hAnsi="DeutscheBank"/>
          <w:b/>
          <w:bCs/>
          <w:sz w:val="24"/>
          <w:szCs w:val="24"/>
        </w:rPr>
      </w:pPr>
      <w:r w:rsidRPr="007C3248">
        <w:rPr>
          <w:rFonts w:ascii="DeutscheBank" w:hAnsi="DeutscheBank"/>
          <w:b/>
          <w:bCs/>
          <w:sz w:val="24"/>
          <w:szCs w:val="24"/>
        </w:rPr>
        <w:lastRenderedPageBreak/>
        <w:t>Appendix 5 – Nasdaq Clearing AB</w:t>
      </w:r>
    </w:p>
    <w:p w14:paraId="7FEF9E94" w14:textId="77777777" w:rsidR="00004219" w:rsidRPr="007C3248" w:rsidRDefault="00004219" w:rsidP="00004219">
      <w:pPr>
        <w:pStyle w:val="Body"/>
        <w:jc w:val="left"/>
        <w:rPr>
          <w:rFonts w:ascii="DeutscheBank" w:hAnsi="DeutscheBank"/>
          <w:b/>
          <w:bCs/>
          <w:sz w:val="24"/>
          <w:szCs w:val="24"/>
        </w:rPr>
      </w:pPr>
    </w:p>
    <w:p w14:paraId="40FBE1A5" w14:textId="09093E58" w:rsidR="00004219" w:rsidRPr="007C3248" w:rsidRDefault="00004219" w:rsidP="00004219">
      <w:pPr>
        <w:pStyle w:val="Body"/>
        <w:jc w:val="left"/>
        <w:rPr>
          <w:rFonts w:ascii="DeutscheBank" w:hAnsi="DeutscheBank"/>
          <w:sz w:val="24"/>
          <w:szCs w:val="24"/>
        </w:rPr>
      </w:pPr>
      <w:r w:rsidRPr="007C3248">
        <w:rPr>
          <w:rFonts w:ascii="DeutscheBank" w:hAnsi="DeutscheBank"/>
          <w:sz w:val="24"/>
          <w:szCs w:val="24"/>
        </w:rPr>
        <w:t>This Appendix sets out the recovery and default tools available to, or that may be applied to, Nasdaq Clearing AB (“</w:t>
      </w:r>
      <w:r w:rsidRPr="007C3248">
        <w:rPr>
          <w:rFonts w:ascii="DeutscheBank" w:hAnsi="DeutscheBank"/>
          <w:b/>
          <w:bCs/>
          <w:sz w:val="24"/>
          <w:szCs w:val="24"/>
        </w:rPr>
        <w:t>Nasdaq</w:t>
      </w:r>
      <w:r w:rsidRPr="007C3248">
        <w:rPr>
          <w:rFonts w:ascii="DeutscheBank" w:hAnsi="DeutscheBank"/>
          <w:sz w:val="24"/>
          <w:szCs w:val="24"/>
        </w:rPr>
        <w:t>”) in a recovery and resolution scenario as set out in the Clearing Rules of Nasdaq Derivatives Markets</w:t>
      </w:r>
      <w:r w:rsidR="00FB59BB" w:rsidRPr="007C3248">
        <w:rPr>
          <w:rFonts w:ascii="DeutscheBank" w:hAnsi="DeutscheBank"/>
          <w:sz w:val="24"/>
          <w:szCs w:val="24"/>
        </w:rPr>
        <w:t xml:space="preserve"> as at March 2023</w:t>
      </w:r>
      <w:r w:rsidRPr="007C3248">
        <w:rPr>
          <w:rFonts w:ascii="DeutscheBank" w:hAnsi="DeutscheBank"/>
          <w:sz w:val="24"/>
          <w:szCs w:val="24"/>
        </w:rPr>
        <w:t xml:space="preserve"> (the “</w:t>
      </w:r>
      <w:r w:rsidRPr="007C3248">
        <w:rPr>
          <w:rFonts w:ascii="DeutscheBank" w:hAnsi="DeutscheBank"/>
          <w:b/>
          <w:bCs/>
          <w:sz w:val="24"/>
          <w:szCs w:val="24"/>
        </w:rPr>
        <w:t>Rulebook</w:t>
      </w:r>
      <w:r w:rsidRPr="007C3248">
        <w:rPr>
          <w:rFonts w:ascii="DeutscheBank" w:hAnsi="DeutscheBank"/>
          <w:sz w:val="24"/>
          <w:szCs w:val="24"/>
        </w:rPr>
        <w:t>”) and certain other documentation published by Nasdaq referred to in this Appendix.</w:t>
      </w:r>
      <w:r w:rsidR="00934742">
        <w:rPr>
          <w:rFonts w:ascii="DeutscheBank" w:hAnsi="DeutscheBank"/>
          <w:sz w:val="24"/>
          <w:szCs w:val="24"/>
        </w:rPr>
        <w:t xml:space="preserve"> </w:t>
      </w:r>
    </w:p>
    <w:p w14:paraId="1A0C508F" w14:textId="5A443CBE" w:rsidR="00004219" w:rsidRPr="007C3248" w:rsidRDefault="00004219" w:rsidP="00004219">
      <w:pPr>
        <w:pStyle w:val="Body1"/>
        <w:ind w:left="0"/>
        <w:rPr>
          <w:rFonts w:ascii="DeutscheBank" w:hAnsi="DeutscheBank"/>
          <w:sz w:val="24"/>
          <w:szCs w:val="24"/>
        </w:rPr>
      </w:pPr>
      <w:r w:rsidRPr="007C3248">
        <w:rPr>
          <w:rFonts w:ascii="DeutscheBank" w:hAnsi="DeutscheBank"/>
          <w:sz w:val="24"/>
          <w:szCs w:val="24"/>
        </w:rPr>
        <w:t>* indicates that while this measure is not specifically contemplated in the Rulebook, it is likely to be available to Nasdaq by virtue of its general powers.</w:t>
      </w:r>
    </w:p>
    <w:tbl>
      <w:tblPr>
        <w:tblStyle w:val="TableGrid"/>
        <w:tblW w:w="8995" w:type="dxa"/>
        <w:tblLook w:val="04A0" w:firstRow="1" w:lastRow="0" w:firstColumn="1" w:lastColumn="0" w:noHBand="0" w:noVBand="1"/>
      </w:tblPr>
      <w:tblGrid>
        <w:gridCol w:w="1676"/>
        <w:gridCol w:w="1848"/>
        <w:gridCol w:w="2305"/>
        <w:gridCol w:w="3166"/>
      </w:tblGrid>
      <w:tr w:rsidR="00004219" w:rsidRPr="007C3248" w14:paraId="5CD2D571" w14:textId="77777777" w:rsidTr="00DA6F4E">
        <w:trPr>
          <w:trHeight w:val="771"/>
        </w:trPr>
        <w:tc>
          <w:tcPr>
            <w:tcW w:w="1676" w:type="dxa"/>
            <w:tcBorders>
              <w:top w:val="single" w:sz="4" w:space="0" w:color="auto"/>
              <w:left w:val="single" w:sz="4" w:space="0" w:color="auto"/>
              <w:bottom w:val="single" w:sz="4" w:space="0" w:color="auto"/>
              <w:right w:val="single" w:sz="4" w:space="0" w:color="auto"/>
            </w:tcBorders>
            <w:hideMark/>
          </w:tcPr>
          <w:p w14:paraId="657B3AB7"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Measure</w:t>
            </w:r>
          </w:p>
        </w:tc>
        <w:tc>
          <w:tcPr>
            <w:tcW w:w="1848" w:type="dxa"/>
            <w:tcBorders>
              <w:top w:val="single" w:sz="4" w:space="0" w:color="auto"/>
              <w:left w:val="single" w:sz="4" w:space="0" w:color="auto"/>
              <w:bottom w:val="single" w:sz="4" w:space="0" w:color="auto"/>
              <w:right w:val="single" w:sz="4" w:space="0" w:color="auto"/>
            </w:tcBorders>
            <w:hideMark/>
          </w:tcPr>
          <w:p w14:paraId="4388643C"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Contemplated in Rulebook</w:t>
            </w:r>
          </w:p>
        </w:tc>
        <w:tc>
          <w:tcPr>
            <w:tcW w:w="2305" w:type="dxa"/>
            <w:tcBorders>
              <w:top w:val="single" w:sz="4" w:space="0" w:color="auto"/>
              <w:left w:val="single" w:sz="4" w:space="0" w:color="auto"/>
              <w:bottom w:val="single" w:sz="4" w:space="0" w:color="auto"/>
              <w:right w:val="single" w:sz="4" w:space="0" w:color="auto"/>
            </w:tcBorders>
            <w:hideMark/>
          </w:tcPr>
          <w:p w14:paraId="627A1EE5" w14:textId="1BD9334B" w:rsidR="00004219" w:rsidRPr="007C3248" w:rsidRDefault="00004219">
            <w:pPr>
              <w:jc w:val="center"/>
              <w:rPr>
                <w:rFonts w:ascii="DeutscheBank" w:hAnsi="DeutscheBank" w:cs="Times New Roman"/>
                <w:b/>
                <w:bCs/>
              </w:rPr>
            </w:pPr>
            <w:r w:rsidRPr="007C3248">
              <w:rPr>
                <w:rFonts w:ascii="DeutscheBank" w:hAnsi="DeutscheBank" w:cs="Times New Roman"/>
                <w:b/>
                <w:bCs/>
              </w:rPr>
              <w:t>Rulebook Reference</w:t>
            </w:r>
          </w:p>
        </w:tc>
        <w:tc>
          <w:tcPr>
            <w:tcW w:w="3166" w:type="dxa"/>
            <w:tcBorders>
              <w:top w:val="single" w:sz="4" w:space="0" w:color="auto"/>
              <w:left w:val="single" w:sz="4" w:space="0" w:color="auto"/>
              <w:bottom w:val="single" w:sz="4" w:space="0" w:color="auto"/>
              <w:right w:val="single" w:sz="4" w:space="0" w:color="auto"/>
            </w:tcBorders>
            <w:hideMark/>
          </w:tcPr>
          <w:p w14:paraId="020033E0"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Additional Comments</w:t>
            </w:r>
          </w:p>
        </w:tc>
      </w:tr>
      <w:tr w:rsidR="00004219" w:rsidRPr="007C3248" w14:paraId="1F8E6A97" w14:textId="77777777" w:rsidTr="00DA6F4E">
        <w:trPr>
          <w:trHeight w:val="452"/>
        </w:trPr>
        <w:tc>
          <w:tcPr>
            <w:tcW w:w="1676" w:type="dxa"/>
            <w:tcBorders>
              <w:top w:val="single" w:sz="4" w:space="0" w:color="auto"/>
              <w:left w:val="single" w:sz="4" w:space="0" w:color="auto"/>
              <w:bottom w:val="single" w:sz="4" w:space="0" w:color="auto"/>
              <w:right w:val="single" w:sz="4" w:space="0" w:color="auto"/>
            </w:tcBorders>
            <w:vAlign w:val="center"/>
          </w:tcPr>
          <w:p w14:paraId="1F532B51" w14:textId="77777777" w:rsidR="00004219" w:rsidRPr="007C3248" w:rsidRDefault="00004219">
            <w:pPr>
              <w:rPr>
                <w:rFonts w:ascii="DeutscheBank" w:hAnsi="DeutscheBank" w:cs="Times New Roman"/>
                <w:b/>
                <w:bCs/>
              </w:rPr>
            </w:pPr>
            <w:r w:rsidRPr="007C3248">
              <w:rPr>
                <w:rFonts w:ascii="DeutscheBank" w:hAnsi="DeutscheBank" w:cs="Times New Roman"/>
                <w:b/>
                <w:bCs/>
              </w:rPr>
              <w:t>Tear-up</w:t>
            </w:r>
          </w:p>
          <w:p w14:paraId="54B1960B" w14:textId="77777777" w:rsidR="00004219" w:rsidRPr="007C3248" w:rsidRDefault="00004219">
            <w:pPr>
              <w:rPr>
                <w:rFonts w:ascii="DeutscheBank" w:hAnsi="DeutscheBank" w:cs="Times New Roman"/>
                <w:b/>
                <w:bCs/>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3BD6191C" w14:textId="77777777" w:rsidR="00004219" w:rsidRPr="007C3248" w:rsidRDefault="00004219">
            <w:pPr>
              <w:jc w:val="center"/>
              <w:rPr>
                <w:rFonts w:ascii="DeutscheBank" w:hAnsi="DeutscheBank" w:cs="Times New Roman"/>
                <w:b/>
                <w:bCs/>
              </w:rPr>
            </w:pPr>
            <w:r w:rsidRPr="007C3248">
              <w:rPr>
                <w:rFonts w:ascii="Segoe UI Symbol" w:hAnsi="Segoe UI Symbol" w:cs="Segoe UI Symbol"/>
                <w:b/>
                <w:bCs/>
              </w:rPr>
              <w:t>✓</w:t>
            </w:r>
          </w:p>
        </w:tc>
        <w:tc>
          <w:tcPr>
            <w:tcW w:w="2305" w:type="dxa"/>
            <w:tcBorders>
              <w:top w:val="single" w:sz="4" w:space="0" w:color="auto"/>
              <w:left w:val="single" w:sz="4" w:space="0" w:color="auto"/>
              <w:bottom w:val="single" w:sz="4" w:space="0" w:color="auto"/>
              <w:right w:val="single" w:sz="4" w:space="0" w:color="auto"/>
            </w:tcBorders>
            <w:vAlign w:val="center"/>
            <w:hideMark/>
          </w:tcPr>
          <w:p w14:paraId="1F8E1D57" w14:textId="77777777" w:rsidR="00004219" w:rsidRPr="007C3248" w:rsidRDefault="00004219">
            <w:pPr>
              <w:rPr>
                <w:rFonts w:ascii="DeutscheBank" w:hAnsi="DeutscheBank" w:cs="Times New Roman"/>
              </w:rPr>
            </w:pPr>
            <w:r w:rsidRPr="007C3248">
              <w:rPr>
                <w:rFonts w:ascii="DeutscheBank" w:hAnsi="DeutscheBank" w:cs="Times New Roman"/>
              </w:rPr>
              <w:t xml:space="preserve">Schedule 2 to Appendix 16 of the Rulebook. </w:t>
            </w:r>
          </w:p>
        </w:tc>
        <w:tc>
          <w:tcPr>
            <w:tcW w:w="3166" w:type="dxa"/>
            <w:tcBorders>
              <w:top w:val="single" w:sz="4" w:space="0" w:color="auto"/>
              <w:left w:val="single" w:sz="4" w:space="0" w:color="auto"/>
              <w:bottom w:val="single" w:sz="4" w:space="0" w:color="auto"/>
              <w:right w:val="single" w:sz="4" w:space="0" w:color="auto"/>
            </w:tcBorders>
            <w:vAlign w:val="center"/>
            <w:hideMark/>
          </w:tcPr>
          <w:p w14:paraId="2A08681A" w14:textId="77777777" w:rsidR="00004219" w:rsidRPr="007C3248" w:rsidRDefault="00004219">
            <w:pPr>
              <w:rPr>
                <w:rFonts w:ascii="DeutscheBank" w:hAnsi="DeutscheBank" w:cs="Times New Roman"/>
              </w:rPr>
            </w:pPr>
            <w:r w:rsidRPr="007C3248">
              <w:rPr>
                <w:rFonts w:ascii="DeutscheBank" w:hAnsi="DeutscheBank" w:cs="Times New Roman"/>
              </w:rPr>
              <w:t>Tear-up may be applied in both directions (i.e. tear-up may be applied to portions of contracts that have both an opposing directional position and the same directional position to contracts in the defaulting clearing member’s portfolio).</w:t>
            </w:r>
          </w:p>
        </w:tc>
      </w:tr>
      <w:tr w:rsidR="00004219" w:rsidRPr="007C3248" w14:paraId="6B48B66B" w14:textId="77777777" w:rsidTr="00DA6F4E">
        <w:trPr>
          <w:trHeight w:val="341"/>
        </w:trPr>
        <w:tc>
          <w:tcPr>
            <w:tcW w:w="1676" w:type="dxa"/>
            <w:tcBorders>
              <w:top w:val="single" w:sz="4" w:space="0" w:color="auto"/>
              <w:left w:val="single" w:sz="4" w:space="0" w:color="auto"/>
              <w:bottom w:val="single" w:sz="4" w:space="0" w:color="auto"/>
              <w:right w:val="single" w:sz="4" w:space="0" w:color="auto"/>
            </w:tcBorders>
            <w:vAlign w:val="center"/>
            <w:hideMark/>
          </w:tcPr>
          <w:p w14:paraId="359BDEB9" w14:textId="77777777" w:rsidR="00004219" w:rsidRPr="007C3248" w:rsidRDefault="00004219">
            <w:pPr>
              <w:rPr>
                <w:rFonts w:ascii="DeutscheBank" w:hAnsi="DeutscheBank" w:cs="Times New Roman"/>
                <w:b/>
                <w:bCs/>
              </w:rPr>
            </w:pPr>
            <w:r w:rsidRPr="007C3248">
              <w:rPr>
                <w:rFonts w:ascii="DeutscheBank" w:hAnsi="DeutscheBank" w:cs="Times New Roman"/>
                <w:b/>
                <w:bCs/>
              </w:rPr>
              <w:t>Invoicing Back</w:t>
            </w:r>
          </w:p>
        </w:tc>
        <w:tc>
          <w:tcPr>
            <w:tcW w:w="1848" w:type="dxa"/>
            <w:tcBorders>
              <w:top w:val="single" w:sz="4" w:space="0" w:color="auto"/>
              <w:left w:val="single" w:sz="4" w:space="0" w:color="auto"/>
              <w:bottom w:val="single" w:sz="4" w:space="0" w:color="auto"/>
              <w:right w:val="single" w:sz="4" w:space="0" w:color="auto"/>
            </w:tcBorders>
            <w:vAlign w:val="center"/>
            <w:hideMark/>
          </w:tcPr>
          <w:p w14:paraId="37BC3E11"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x*</w:t>
            </w:r>
          </w:p>
        </w:tc>
        <w:tc>
          <w:tcPr>
            <w:tcW w:w="2305" w:type="dxa"/>
            <w:tcBorders>
              <w:top w:val="single" w:sz="4" w:space="0" w:color="auto"/>
              <w:left w:val="single" w:sz="4" w:space="0" w:color="auto"/>
              <w:bottom w:val="single" w:sz="4" w:space="0" w:color="auto"/>
              <w:right w:val="single" w:sz="4" w:space="0" w:color="auto"/>
            </w:tcBorders>
            <w:vAlign w:val="center"/>
            <w:hideMark/>
          </w:tcPr>
          <w:p w14:paraId="4BA5EA5E" w14:textId="77777777" w:rsidR="00004219" w:rsidRPr="007C3248" w:rsidRDefault="00004219">
            <w:pPr>
              <w:jc w:val="center"/>
              <w:rPr>
                <w:rFonts w:ascii="DeutscheBank" w:hAnsi="DeutscheBank" w:cs="Times New Roman"/>
              </w:rPr>
            </w:pPr>
            <w:r w:rsidRPr="007C3248">
              <w:rPr>
                <w:rFonts w:ascii="DeutscheBank" w:hAnsi="DeutscheBank" w:cs="Times New Roman"/>
              </w:rPr>
              <w:t>n/a</w:t>
            </w:r>
          </w:p>
        </w:tc>
        <w:tc>
          <w:tcPr>
            <w:tcW w:w="3166" w:type="dxa"/>
            <w:tcBorders>
              <w:top w:val="single" w:sz="4" w:space="0" w:color="auto"/>
              <w:left w:val="single" w:sz="4" w:space="0" w:color="auto"/>
              <w:bottom w:val="single" w:sz="4" w:space="0" w:color="auto"/>
              <w:right w:val="single" w:sz="4" w:space="0" w:color="auto"/>
            </w:tcBorders>
            <w:vAlign w:val="center"/>
            <w:hideMark/>
          </w:tcPr>
          <w:p w14:paraId="371CE9F9" w14:textId="77777777" w:rsidR="00004219" w:rsidRPr="007C3248" w:rsidRDefault="00004219">
            <w:pPr>
              <w:jc w:val="center"/>
              <w:rPr>
                <w:rFonts w:ascii="DeutscheBank" w:hAnsi="DeutscheBank" w:cs="Times New Roman"/>
              </w:rPr>
            </w:pPr>
            <w:r w:rsidRPr="007C3248">
              <w:rPr>
                <w:rFonts w:ascii="DeutscheBank" w:hAnsi="DeutscheBank" w:cs="Times New Roman"/>
              </w:rPr>
              <w:t>n/a</w:t>
            </w:r>
          </w:p>
        </w:tc>
      </w:tr>
      <w:tr w:rsidR="00004219" w:rsidRPr="007C3248" w14:paraId="0604BD6E" w14:textId="77777777" w:rsidTr="00DA6F4E">
        <w:trPr>
          <w:trHeight w:val="710"/>
        </w:trPr>
        <w:tc>
          <w:tcPr>
            <w:tcW w:w="1676" w:type="dxa"/>
            <w:tcBorders>
              <w:top w:val="single" w:sz="4" w:space="0" w:color="auto"/>
              <w:left w:val="single" w:sz="4" w:space="0" w:color="auto"/>
              <w:bottom w:val="single" w:sz="4" w:space="0" w:color="auto"/>
              <w:right w:val="single" w:sz="4" w:space="0" w:color="auto"/>
            </w:tcBorders>
            <w:vAlign w:val="center"/>
            <w:hideMark/>
          </w:tcPr>
          <w:p w14:paraId="5BC135DA" w14:textId="77777777" w:rsidR="00004219" w:rsidRPr="007C3248" w:rsidRDefault="00004219">
            <w:pPr>
              <w:rPr>
                <w:rFonts w:ascii="DeutscheBank" w:hAnsi="DeutscheBank" w:cs="Times New Roman"/>
                <w:b/>
                <w:bCs/>
              </w:rPr>
            </w:pPr>
            <w:r w:rsidRPr="007C3248">
              <w:rPr>
                <w:rFonts w:ascii="DeutscheBank" w:hAnsi="DeutscheBank" w:cs="Times New Roman"/>
                <w:b/>
                <w:bCs/>
              </w:rPr>
              <w:t>Variation Margin Gains Haircutting (VMGH)</w:t>
            </w:r>
          </w:p>
        </w:tc>
        <w:tc>
          <w:tcPr>
            <w:tcW w:w="1848" w:type="dxa"/>
            <w:tcBorders>
              <w:top w:val="single" w:sz="4" w:space="0" w:color="auto"/>
              <w:left w:val="single" w:sz="4" w:space="0" w:color="auto"/>
              <w:bottom w:val="single" w:sz="4" w:space="0" w:color="auto"/>
              <w:right w:val="single" w:sz="4" w:space="0" w:color="auto"/>
            </w:tcBorders>
            <w:vAlign w:val="center"/>
            <w:hideMark/>
          </w:tcPr>
          <w:p w14:paraId="1E3BD03A" w14:textId="77777777" w:rsidR="00004219" w:rsidRPr="007C3248" w:rsidRDefault="00004219">
            <w:pPr>
              <w:jc w:val="center"/>
              <w:rPr>
                <w:rFonts w:ascii="DeutscheBank" w:hAnsi="DeutscheBank" w:cs="Times New Roman"/>
              </w:rPr>
            </w:pPr>
            <w:r w:rsidRPr="007C3248">
              <w:rPr>
                <w:rFonts w:ascii="DeutscheBank" w:hAnsi="DeutscheBank" w:cs="Times New Roman"/>
                <w:b/>
                <w:bCs/>
              </w:rPr>
              <w:t>x*</w:t>
            </w:r>
          </w:p>
        </w:tc>
        <w:tc>
          <w:tcPr>
            <w:tcW w:w="2305" w:type="dxa"/>
            <w:tcBorders>
              <w:top w:val="single" w:sz="4" w:space="0" w:color="auto"/>
              <w:left w:val="single" w:sz="4" w:space="0" w:color="auto"/>
              <w:bottom w:val="single" w:sz="4" w:space="0" w:color="auto"/>
              <w:right w:val="single" w:sz="4" w:space="0" w:color="auto"/>
            </w:tcBorders>
            <w:vAlign w:val="center"/>
            <w:hideMark/>
          </w:tcPr>
          <w:p w14:paraId="77B0075A" w14:textId="77777777" w:rsidR="00004219" w:rsidRPr="007C3248" w:rsidRDefault="00004219">
            <w:pPr>
              <w:jc w:val="center"/>
              <w:rPr>
                <w:rFonts w:ascii="DeutscheBank" w:hAnsi="DeutscheBank" w:cs="Times New Roman"/>
              </w:rPr>
            </w:pPr>
            <w:r w:rsidRPr="007C3248">
              <w:rPr>
                <w:rFonts w:ascii="DeutscheBank" w:hAnsi="DeutscheBank" w:cs="Times New Roman"/>
              </w:rPr>
              <w:t>n/a</w:t>
            </w:r>
          </w:p>
        </w:tc>
        <w:tc>
          <w:tcPr>
            <w:tcW w:w="3166" w:type="dxa"/>
            <w:tcBorders>
              <w:top w:val="single" w:sz="4" w:space="0" w:color="auto"/>
              <w:left w:val="single" w:sz="4" w:space="0" w:color="auto"/>
              <w:bottom w:val="single" w:sz="4" w:space="0" w:color="auto"/>
              <w:right w:val="single" w:sz="4" w:space="0" w:color="auto"/>
            </w:tcBorders>
            <w:vAlign w:val="center"/>
            <w:hideMark/>
          </w:tcPr>
          <w:p w14:paraId="3716F012" w14:textId="77777777" w:rsidR="00004219" w:rsidRPr="007C3248" w:rsidRDefault="00004219">
            <w:pPr>
              <w:jc w:val="center"/>
              <w:rPr>
                <w:rFonts w:ascii="DeutscheBank" w:hAnsi="DeutscheBank" w:cs="Times New Roman"/>
              </w:rPr>
            </w:pPr>
            <w:r w:rsidRPr="007C3248">
              <w:rPr>
                <w:rFonts w:ascii="DeutscheBank" w:hAnsi="DeutscheBank" w:cs="Times New Roman"/>
              </w:rPr>
              <w:t xml:space="preserve">n/a </w:t>
            </w:r>
          </w:p>
        </w:tc>
      </w:tr>
      <w:tr w:rsidR="00004219" w:rsidRPr="007C3248" w14:paraId="73DB2CA1" w14:textId="77777777" w:rsidTr="00DA6F4E">
        <w:trPr>
          <w:trHeight w:val="881"/>
        </w:trPr>
        <w:tc>
          <w:tcPr>
            <w:tcW w:w="1676" w:type="dxa"/>
            <w:tcBorders>
              <w:top w:val="single" w:sz="4" w:space="0" w:color="auto"/>
              <w:left w:val="single" w:sz="4" w:space="0" w:color="auto"/>
              <w:bottom w:val="single" w:sz="4" w:space="0" w:color="auto"/>
              <w:right w:val="single" w:sz="4" w:space="0" w:color="auto"/>
            </w:tcBorders>
            <w:vAlign w:val="center"/>
            <w:hideMark/>
          </w:tcPr>
          <w:p w14:paraId="042C1016" w14:textId="77777777" w:rsidR="00004219" w:rsidRPr="007C3248" w:rsidRDefault="00004219">
            <w:pPr>
              <w:rPr>
                <w:rFonts w:ascii="DeutscheBank" w:hAnsi="DeutscheBank" w:cs="Times New Roman"/>
                <w:b/>
                <w:bCs/>
              </w:rPr>
            </w:pPr>
            <w:r w:rsidRPr="007C3248">
              <w:rPr>
                <w:rFonts w:ascii="DeutscheBank" w:hAnsi="DeutscheBank" w:cs="Times New Roman"/>
                <w:b/>
                <w:bCs/>
              </w:rPr>
              <w:t>Changes to Margin Criteria</w:t>
            </w:r>
          </w:p>
        </w:tc>
        <w:tc>
          <w:tcPr>
            <w:tcW w:w="1848" w:type="dxa"/>
            <w:tcBorders>
              <w:top w:val="single" w:sz="4" w:space="0" w:color="auto"/>
              <w:left w:val="single" w:sz="4" w:space="0" w:color="auto"/>
              <w:bottom w:val="single" w:sz="4" w:space="0" w:color="auto"/>
              <w:right w:val="single" w:sz="4" w:space="0" w:color="auto"/>
            </w:tcBorders>
            <w:vAlign w:val="center"/>
            <w:hideMark/>
          </w:tcPr>
          <w:p w14:paraId="2971DCA8" w14:textId="77777777" w:rsidR="00004219" w:rsidRPr="007C3248" w:rsidRDefault="00004219">
            <w:pPr>
              <w:jc w:val="center"/>
              <w:rPr>
                <w:rFonts w:ascii="DeutscheBank" w:hAnsi="DeutscheBank" w:cs="Times New Roman"/>
                <w:b/>
                <w:bCs/>
              </w:rPr>
            </w:pPr>
            <w:r w:rsidRPr="007C3248">
              <w:rPr>
                <w:rFonts w:ascii="Segoe UI Symbol" w:hAnsi="Segoe UI Symbol" w:cs="Segoe UI Symbol"/>
                <w:b/>
                <w:bCs/>
              </w:rPr>
              <w:t>✓</w:t>
            </w:r>
          </w:p>
        </w:tc>
        <w:tc>
          <w:tcPr>
            <w:tcW w:w="2305" w:type="dxa"/>
            <w:tcBorders>
              <w:top w:val="single" w:sz="4" w:space="0" w:color="auto"/>
              <w:left w:val="single" w:sz="4" w:space="0" w:color="auto"/>
              <w:bottom w:val="single" w:sz="4" w:space="0" w:color="auto"/>
              <w:right w:val="single" w:sz="4" w:space="0" w:color="auto"/>
            </w:tcBorders>
            <w:vAlign w:val="center"/>
            <w:hideMark/>
          </w:tcPr>
          <w:p w14:paraId="102AE982" w14:textId="77777777" w:rsidR="00004219" w:rsidRPr="007C3248" w:rsidRDefault="00004219">
            <w:pPr>
              <w:rPr>
                <w:rFonts w:ascii="DeutscheBank" w:hAnsi="DeutscheBank" w:cs="Times New Roman"/>
              </w:rPr>
            </w:pPr>
            <w:r w:rsidRPr="007C3248">
              <w:rPr>
                <w:rFonts w:ascii="DeutscheBank" w:hAnsi="DeutscheBank" w:cs="Times New Roman"/>
              </w:rPr>
              <w:t>Articles 2.8.2a, 2.8.14, 2.8.16 and 2.8.17 of the Rulebook</w:t>
            </w:r>
          </w:p>
        </w:tc>
        <w:tc>
          <w:tcPr>
            <w:tcW w:w="3166" w:type="dxa"/>
            <w:tcBorders>
              <w:top w:val="single" w:sz="4" w:space="0" w:color="auto"/>
              <w:left w:val="single" w:sz="4" w:space="0" w:color="auto"/>
              <w:bottom w:val="single" w:sz="4" w:space="0" w:color="auto"/>
              <w:right w:val="single" w:sz="4" w:space="0" w:color="auto"/>
            </w:tcBorders>
            <w:vAlign w:val="center"/>
            <w:hideMark/>
          </w:tcPr>
          <w:p w14:paraId="594CD6D9" w14:textId="77777777" w:rsidR="00004219" w:rsidRPr="007C3248" w:rsidRDefault="00004219">
            <w:pPr>
              <w:jc w:val="center"/>
              <w:rPr>
                <w:rFonts w:ascii="DeutscheBank" w:hAnsi="DeutscheBank" w:cs="Times New Roman"/>
                <w:highlight w:val="green"/>
              </w:rPr>
            </w:pPr>
            <w:r w:rsidRPr="007C3248">
              <w:rPr>
                <w:rFonts w:ascii="DeutscheBank" w:hAnsi="DeutscheBank" w:cs="Times New Roman"/>
              </w:rPr>
              <w:t>-</w:t>
            </w:r>
          </w:p>
        </w:tc>
      </w:tr>
      <w:tr w:rsidR="00004219" w:rsidRPr="007C3248" w14:paraId="718DCB83" w14:textId="77777777" w:rsidTr="00DA6F4E">
        <w:trPr>
          <w:trHeight w:val="544"/>
        </w:trPr>
        <w:tc>
          <w:tcPr>
            <w:tcW w:w="1676" w:type="dxa"/>
            <w:tcBorders>
              <w:top w:val="single" w:sz="4" w:space="0" w:color="auto"/>
              <w:left w:val="single" w:sz="4" w:space="0" w:color="auto"/>
              <w:bottom w:val="single" w:sz="4" w:space="0" w:color="auto"/>
              <w:right w:val="single" w:sz="4" w:space="0" w:color="auto"/>
            </w:tcBorders>
            <w:vAlign w:val="center"/>
            <w:hideMark/>
          </w:tcPr>
          <w:p w14:paraId="3A4C089C" w14:textId="77777777" w:rsidR="00004219" w:rsidRPr="007C3248" w:rsidRDefault="00004219">
            <w:pPr>
              <w:rPr>
                <w:rFonts w:ascii="DeutscheBank" w:hAnsi="DeutscheBank" w:cs="Times New Roman"/>
                <w:b/>
                <w:bCs/>
              </w:rPr>
            </w:pPr>
            <w:r w:rsidRPr="007C3248">
              <w:rPr>
                <w:rFonts w:ascii="DeutscheBank" w:hAnsi="DeutscheBank" w:cs="Times New Roman"/>
                <w:b/>
                <w:bCs/>
              </w:rPr>
              <w:lastRenderedPageBreak/>
              <w:t>Contingent Variation Margin</w:t>
            </w:r>
          </w:p>
        </w:tc>
        <w:tc>
          <w:tcPr>
            <w:tcW w:w="1848" w:type="dxa"/>
            <w:tcBorders>
              <w:top w:val="single" w:sz="4" w:space="0" w:color="auto"/>
              <w:left w:val="single" w:sz="4" w:space="0" w:color="auto"/>
              <w:bottom w:val="single" w:sz="4" w:space="0" w:color="auto"/>
              <w:right w:val="single" w:sz="4" w:space="0" w:color="auto"/>
            </w:tcBorders>
            <w:vAlign w:val="center"/>
            <w:hideMark/>
          </w:tcPr>
          <w:p w14:paraId="11F326B6" w14:textId="77777777" w:rsidR="00004219" w:rsidRPr="007C3248" w:rsidRDefault="00004219">
            <w:pPr>
              <w:jc w:val="center"/>
              <w:rPr>
                <w:rFonts w:ascii="DeutscheBank" w:hAnsi="DeutscheBank" w:cs="Times New Roman"/>
                <w:b/>
                <w:bCs/>
              </w:rPr>
            </w:pPr>
            <w:r w:rsidRPr="007C3248">
              <w:rPr>
                <w:rFonts w:ascii="DeutscheBank" w:hAnsi="DeutscheBank" w:cs="Times New Roman"/>
                <w:b/>
                <w:bCs/>
              </w:rPr>
              <w:t>x*</w:t>
            </w:r>
          </w:p>
        </w:tc>
        <w:tc>
          <w:tcPr>
            <w:tcW w:w="2305" w:type="dxa"/>
            <w:tcBorders>
              <w:top w:val="single" w:sz="4" w:space="0" w:color="auto"/>
              <w:left w:val="single" w:sz="4" w:space="0" w:color="auto"/>
              <w:bottom w:val="single" w:sz="4" w:space="0" w:color="auto"/>
              <w:right w:val="single" w:sz="4" w:space="0" w:color="auto"/>
            </w:tcBorders>
            <w:vAlign w:val="center"/>
            <w:hideMark/>
          </w:tcPr>
          <w:p w14:paraId="3820C605" w14:textId="77777777" w:rsidR="00004219" w:rsidRPr="007C3248" w:rsidRDefault="00004219">
            <w:pPr>
              <w:jc w:val="center"/>
              <w:rPr>
                <w:rFonts w:ascii="DeutscheBank" w:hAnsi="DeutscheBank" w:cs="Times New Roman"/>
              </w:rPr>
            </w:pPr>
            <w:r w:rsidRPr="007C3248">
              <w:rPr>
                <w:rFonts w:ascii="DeutscheBank" w:hAnsi="DeutscheBank" w:cs="Times New Roman"/>
              </w:rPr>
              <w:t>n/a</w:t>
            </w:r>
          </w:p>
        </w:tc>
        <w:tc>
          <w:tcPr>
            <w:tcW w:w="3166" w:type="dxa"/>
            <w:tcBorders>
              <w:top w:val="single" w:sz="4" w:space="0" w:color="auto"/>
              <w:left w:val="single" w:sz="4" w:space="0" w:color="auto"/>
              <w:bottom w:val="single" w:sz="4" w:space="0" w:color="auto"/>
              <w:right w:val="single" w:sz="4" w:space="0" w:color="auto"/>
            </w:tcBorders>
            <w:vAlign w:val="center"/>
            <w:hideMark/>
          </w:tcPr>
          <w:p w14:paraId="5C59869B" w14:textId="77777777" w:rsidR="00004219" w:rsidRPr="007C3248" w:rsidRDefault="00004219">
            <w:pPr>
              <w:jc w:val="center"/>
              <w:rPr>
                <w:rFonts w:ascii="DeutscheBank" w:hAnsi="DeutscheBank" w:cs="Times New Roman"/>
              </w:rPr>
            </w:pPr>
            <w:r w:rsidRPr="007C3248">
              <w:rPr>
                <w:rFonts w:ascii="DeutscheBank" w:hAnsi="DeutscheBank" w:cs="Times New Roman"/>
              </w:rPr>
              <w:t xml:space="preserve">n/a </w:t>
            </w:r>
          </w:p>
        </w:tc>
      </w:tr>
      <w:tr w:rsidR="00004219" w:rsidRPr="007C3248" w14:paraId="113B95B2" w14:textId="77777777" w:rsidTr="00DA6F4E">
        <w:trPr>
          <w:trHeight w:val="544"/>
        </w:trPr>
        <w:tc>
          <w:tcPr>
            <w:tcW w:w="1676" w:type="dxa"/>
            <w:tcBorders>
              <w:top w:val="single" w:sz="4" w:space="0" w:color="auto"/>
              <w:left w:val="single" w:sz="4" w:space="0" w:color="auto"/>
              <w:bottom w:val="single" w:sz="4" w:space="0" w:color="auto"/>
              <w:right w:val="single" w:sz="4" w:space="0" w:color="auto"/>
            </w:tcBorders>
            <w:vAlign w:val="center"/>
            <w:hideMark/>
          </w:tcPr>
          <w:p w14:paraId="67C54D4F" w14:textId="77777777" w:rsidR="00004219" w:rsidRPr="007C3248" w:rsidRDefault="00004219">
            <w:pPr>
              <w:rPr>
                <w:rFonts w:ascii="DeutscheBank" w:hAnsi="DeutscheBank" w:cs="Times New Roman"/>
                <w:b/>
                <w:bCs/>
              </w:rPr>
            </w:pPr>
            <w:r w:rsidRPr="007C3248">
              <w:rPr>
                <w:rFonts w:ascii="DeutscheBank" w:hAnsi="DeutscheBank" w:cs="Times New Roman"/>
                <w:b/>
                <w:bCs/>
              </w:rPr>
              <w:t>Emergency Powers</w:t>
            </w:r>
          </w:p>
        </w:tc>
        <w:tc>
          <w:tcPr>
            <w:tcW w:w="1848" w:type="dxa"/>
            <w:tcBorders>
              <w:top w:val="single" w:sz="4" w:space="0" w:color="auto"/>
              <w:left w:val="single" w:sz="4" w:space="0" w:color="auto"/>
              <w:bottom w:val="single" w:sz="4" w:space="0" w:color="auto"/>
              <w:right w:val="single" w:sz="4" w:space="0" w:color="auto"/>
            </w:tcBorders>
            <w:vAlign w:val="center"/>
            <w:hideMark/>
          </w:tcPr>
          <w:p w14:paraId="1733BF1F" w14:textId="77777777" w:rsidR="00004219" w:rsidRPr="007C3248" w:rsidRDefault="00004219">
            <w:pPr>
              <w:jc w:val="center"/>
              <w:rPr>
                <w:rFonts w:ascii="DeutscheBank" w:hAnsi="DeutscheBank" w:cs="Times New Roman"/>
                <w:b/>
                <w:bCs/>
              </w:rPr>
            </w:pPr>
            <w:r w:rsidRPr="007C3248">
              <w:rPr>
                <w:rFonts w:ascii="Segoe UI Symbol" w:hAnsi="Segoe UI Symbol" w:cs="Segoe UI Symbol"/>
                <w:b/>
                <w:bCs/>
              </w:rPr>
              <w:t>✓</w:t>
            </w:r>
          </w:p>
        </w:tc>
        <w:tc>
          <w:tcPr>
            <w:tcW w:w="2305" w:type="dxa"/>
            <w:tcBorders>
              <w:top w:val="single" w:sz="4" w:space="0" w:color="auto"/>
              <w:left w:val="single" w:sz="4" w:space="0" w:color="auto"/>
              <w:bottom w:val="single" w:sz="4" w:space="0" w:color="auto"/>
              <w:right w:val="single" w:sz="4" w:space="0" w:color="auto"/>
            </w:tcBorders>
            <w:vAlign w:val="center"/>
            <w:hideMark/>
          </w:tcPr>
          <w:p w14:paraId="3737BF8F" w14:textId="77777777" w:rsidR="00004219" w:rsidRPr="007C3248" w:rsidRDefault="00004219">
            <w:pPr>
              <w:jc w:val="center"/>
              <w:rPr>
                <w:rFonts w:ascii="DeutscheBank" w:hAnsi="DeutscheBank" w:cs="Times New Roman"/>
              </w:rPr>
            </w:pPr>
            <w:r w:rsidRPr="007C3248">
              <w:rPr>
                <w:rFonts w:ascii="DeutscheBank" w:hAnsi="DeutscheBank" w:cs="Times New Roman"/>
              </w:rPr>
              <w:t>Articles 1.17.1 and 1.19 of the Rulebook.</w:t>
            </w:r>
          </w:p>
        </w:tc>
        <w:tc>
          <w:tcPr>
            <w:tcW w:w="3166" w:type="dxa"/>
            <w:tcBorders>
              <w:top w:val="single" w:sz="4" w:space="0" w:color="auto"/>
              <w:left w:val="single" w:sz="4" w:space="0" w:color="auto"/>
              <w:bottom w:val="single" w:sz="4" w:space="0" w:color="auto"/>
              <w:right w:val="single" w:sz="4" w:space="0" w:color="auto"/>
            </w:tcBorders>
            <w:vAlign w:val="center"/>
            <w:hideMark/>
          </w:tcPr>
          <w:p w14:paraId="70BCACBC" w14:textId="5E51F495" w:rsidR="00004219" w:rsidRPr="007C3248" w:rsidRDefault="00004219">
            <w:pPr>
              <w:rPr>
                <w:rFonts w:ascii="DeutscheBank" w:hAnsi="DeutscheBank" w:cs="Times New Roman"/>
              </w:rPr>
            </w:pPr>
            <w:r w:rsidRPr="007C3248">
              <w:rPr>
                <w:rFonts w:ascii="DeutscheBank" w:hAnsi="DeutscheBank" w:cs="Times New Roman"/>
              </w:rPr>
              <w:t>In</w:t>
            </w:r>
            <w:r w:rsidR="00CE445F">
              <w:rPr>
                <w:rFonts w:ascii="DeutscheBank" w:hAnsi="DeutscheBank" w:cs="Times New Roman"/>
              </w:rPr>
              <w:t xml:space="preserve"> </w:t>
            </w:r>
            <w:r w:rsidRPr="007C3248">
              <w:rPr>
                <w:rFonts w:ascii="DeutscheBank" w:hAnsi="DeutscheBank" w:cs="Times New Roman"/>
              </w:rPr>
              <w:t>an emergency situation, Nasdaq may take various measures (including amending its rules) without notice. This means that Nasdaq could in practice adopt any of the measures outlined above which are not specifically provided for explicitly in the Rulebook.</w:t>
            </w:r>
          </w:p>
        </w:tc>
      </w:tr>
      <w:tr w:rsidR="00004219" w:rsidRPr="007C3248" w14:paraId="2C116587" w14:textId="77777777" w:rsidTr="00DA6F4E">
        <w:trPr>
          <w:trHeight w:val="557"/>
        </w:trPr>
        <w:tc>
          <w:tcPr>
            <w:tcW w:w="1676" w:type="dxa"/>
            <w:tcBorders>
              <w:top w:val="single" w:sz="4" w:space="0" w:color="auto"/>
              <w:left w:val="single" w:sz="4" w:space="0" w:color="auto"/>
              <w:bottom w:val="single" w:sz="4" w:space="0" w:color="auto"/>
              <w:right w:val="single" w:sz="4" w:space="0" w:color="auto"/>
            </w:tcBorders>
            <w:vAlign w:val="center"/>
            <w:hideMark/>
          </w:tcPr>
          <w:p w14:paraId="35EA88A2" w14:textId="77777777" w:rsidR="00004219" w:rsidRPr="007C3248" w:rsidRDefault="00004219">
            <w:pPr>
              <w:rPr>
                <w:rFonts w:ascii="DeutscheBank" w:hAnsi="DeutscheBank" w:cs="Times New Roman"/>
                <w:b/>
                <w:bCs/>
              </w:rPr>
            </w:pPr>
            <w:r w:rsidRPr="007C3248">
              <w:rPr>
                <w:rFonts w:ascii="DeutscheBank" w:hAnsi="DeutscheBank" w:cs="Times New Roman"/>
                <w:b/>
                <w:bCs/>
              </w:rPr>
              <w:t>Service Closure</w:t>
            </w:r>
          </w:p>
        </w:tc>
        <w:tc>
          <w:tcPr>
            <w:tcW w:w="1848" w:type="dxa"/>
            <w:tcBorders>
              <w:top w:val="single" w:sz="4" w:space="0" w:color="auto"/>
              <w:left w:val="single" w:sz="4" w:space="0" w:color="auto"/>
              <w:bottom w:val="single" w:sz="4" w:space="0" w:color="auto"/>
              <w:right w:val="single" w:sz="4" w:space="0" w:color="auto"/>
            </w:tcBorders>
            <w:vAlign w:val="center"/>
            <w:hideMark/>
          </w:tcPr>
          <w:p w14:paraId="018886D2" w14:textId="77777777" w:rsidR="00004219" w:rsidRPr="007C3248" w:rsidRDefault="00004219">
            <w:pPr>
              <w:jc w:val="center"/>
              <w:rPr>
                <w:rFonts w:ascii="DeutscheBank" w:hAnsi="DeutscheBank" w:cs="Times New Roman"/>
              </w:rPr>
            </w:pPr>
            <w:r w:rsidRPr="007C3248">
              <w:rPr>
                <w:rFonts w:ascii="Segoe UI Symbol" w:hAnsi="Segoe UI Symbol" w:cs="Segoe UI Symbol"/>
                <w:b/>
                <w:bCs/>
              </w:rPr>
              <w:t>✓</w:t>
            </w:r>
          </w:p>
        </w:tc>
        <w:tc>
          <w:tcPr>
            <w:tcW w:w="2305" w:type="dxa"/>
            <w:tcBorders>
              <w:top w:val="single" w:sz="4" w:space="0" w:color="auto"/>
              <w:left w:val="single" w:sz="4" w:space="0" w:color="auto"/>
              <w:bottom w:val="single" w:sz="4" w:space="0" w:color="auto"/>
              <w:right w:val="single" w:sz="4" w:space="0" w:color="auto"/>
            </w:tcBorders>
            <w:vAlign w:val="center"/>
            <w:hideMark/>
          </w:tcPr>
          <w:p w14:paraId="6DA8E334" w14:textId="77777777" w:rsidR="00004219" w:rsidRPr="007C3248" w:rsidRDefault="00004219">
            <w:pPr>
              <w:rPr>
                <w:rFonts w:ascii="DeutscheBank" w:hAnsi="DeutscheBank" w:cs="Times New Roman"/>
              </w:rPr>
            </w:pPr>
            <w:r w:rsidRPr="007C3248">
              <w:rPr>
                <w:rFonts w:ascii="DeutscheBank" w:hAnsi="DeutscheBank" w:cs="Times New Roman"/>
              </w:rPr>
              <w:t xml:space="preserve">Schedule 4 of Appendix 16 of the Rulebook. </w:t>
            </w:r>
          </w:p>
        </w:tc>
        <w:tc>
          <w:tcPr>
            <w:tcW w:w="3166" w:type="dxa"/>
            <w:tcBorders>
              <w:top w:val="single" w:sz="4" w:space="0" w:color="auto"/>
              <w:left w:val="single" w:sz="4" w:space="0" w:color="auto"/>
              <w:bottom w:val="single" w:sz="4" w:space="0" w:color="auto"/>
              <w:right w:val="single" w:sz="4" w:space="0" w:color="auto"/>
            </w:tcBorders>
            <w:vAlign w:val="center"/>
            <w:hideMark/>
          </w:tcPr>
          <w:p w14:paraId="03213596" w14:textId="77777777" w:rsidR="00004219" w:rsidRPr="007C3248" w:rsidRDefault="00004219">
            <w:pPr>
              <w:jc w:val="center"/>
              <w:rPr>
                <w:rFonts w:ascii="DeutscheBank" w:hAnsi="DeutscheBank" w:cs="Times New Roman"/>
              </w:rPr>
            </w:pPr>
            <w:r w:rsidRPr="007C3248">
              <w:rPr>
                <w:rFonts w:ascii="DeutscheBank" w:hAnsi="DeutscheBank" w:cs="Times New Roman"/>
              </w:rPr>
              <w:t>-</w:t>
            </w:r>
          </w:p>
        </w:tc>
      </w:tr>
    </w:tbl>
    <w:p w14:paraId="3270C210" w14:textId="77777777" w:rsidR="00004219" w:rsidRPr="007C3248" w:rsidRDefault="00004219" w:rsidP="00004219">
      <w:pPr>
        <w:pStyle w:val="Body1"/>
        <w:ind w:left="0"/>
        <w:rPr>
          <w:rFonts w:ascii="DeutscheBank" w:hAnsi="DeutscheBank"/>
          <w:sz w:val="24"/>
          <w:szCs w:val="24"/>
        </w:rPr>
      </w:pPr>
    </w:p>
    <w:p w14:paraId="5A8F5D70" w14:textId="18EEF8D7" w:rsidR="00E22666" w:rsidRPr="007C3248" w:rsidRDefault="00E22666">
      <w:pPr>
        <w:spacing w:after="0" w:line="240" w:lineRule="auto"/>
        <w:jc w:val="left"/>
        <w:rPr>
          <w:rFonts w:ascii="DeutscheBank" w:hAnsi="DeutscheBank"/>
        </w:rPr>
      </w:pPr>
      <w:r w:rsidRPr="007C3248">
        <w:rPr>
          <w:rFonts w:ascii="DeutscheBank" w:hAnsi="DeutscheBank"/>
        </w:rPr>
        <w:br w:type="page"/>
      </w:r>
    </w:p>
    <w:p w14:paraId="2D5D04D2" w14:textId="3DC30874" w:rsidR="00E22666" w:rsidRPr="007C3248" w:rsidRDefault="00E22666" w:rsidP="00E22666">
      <w:pPr>
        <w:pStyle w:val="Body"/>
        <w:spacing w:after="120"/>
        <w:jc w:val="center"/>
        <w:rPr>
          <w:rFonts w:ascii="DeutscheBank" w:hAnsi="DeutscheBank"/>
          <w:b/>
          <w:bCs/>
          <w:sz w:val="24"/>
          <w:szCs w:val="24"/>
        </w:rPr>
      </w:pPr>
      <w:r w:rsidRPr="007C3248">
        <w:rPr>
          <w:rFonts w:ascii="DeutscheBank" w:hAnsi="DeutscheBank"/>
          <w:b/>
          <w:bCs/>
          <w:sz w:val="24"/>
          <w:szCs w:val="24"/>
        </w:rPr>
        <w:lastRenderedPageBreak/>
        <w:t>Appendix 6 – KDPW_CCP S.A.</w:t>
      </w:r>
    </w:p>
    <w:p w14:paraId="250DB624" w14:textId="77777777" w:rsidR="00E22666" w:rsidRPr="007C3248" w:rsidRDefault="00E22666" w:rsidP="00E22666">
      <w:pPr>
        <w:pStyle w:val="Body"/>
        <w:jc w:val="left"/>
        <w:rPr>
          <w:rFonts w:ascii="DeutscheBank" w:hAnsi="DeutscheBank"/>
          <w:sz w:val="24"/>
          <w:szCs w:val="24"/>
        </w:rPr>
      </w:pPr>
      <w:r w:rsidRPr="007C3248">
        <w:rPr>
          <w:rFonts w:ascii="DeutscheBank" w:hAnsi="DeutscheBank"/>
          <w:sz w:val="24"/>
          <w:szCs w:val="24"/>
        </w:rPr>
        <w:t>This Appendix sets out the recovery and default tools available to, or that may be applied to, KDPW_CCP S.A. (“</w:t>
      </w:r>
      <w:r w:rsidRPr="007C3248">
        <w:rPr>
          <w:rFonts w:ascii="DeutscheBank" w:hAnsi="DeutscheBank"/>
          <w:b/>
          <w:bCs/>
          <w:sz w:val="24"/>
          <w:szCs w:val="24"/>
        </w:rPr>
        <w:t>KDPW</w:t>
      </w:r>
      <w:r w:rsidRPr="007C3248">
        <w:rPr>
          <w:rFonts w:ascii="DeutscheBank" w:hAnsi="DeutscheBank"/>
          <w:sz w:val="24"/>
          <w:szCs w:val="24"/>
        </w:rPr>
        <w:t>”) in a recovery and resolution scenario as set out in:</w:t>
      </w:r>
    </w:p>
    <w:p w14:paraId="1A115401" w14:textId="77777777" w:rsidR="00E22666" w:rsidRPr="007C3248" w:rsidRDefault="00E22666" w:rsidP="00E22666">
      <w:pPr>
        <w:pStyle w:val="Body"/>
        <w:numPr>
          <w:ilvl w:val="0"/>
          <w:numId w:val="36"/>
        </w:numPr>
        <w:spacing w:line="290" w:lineRule="auto"/>
        <w:jc w:val="left"/>
        <w:rPr>
          <w:rFonts w:ascii="DeutscheBank" w:hAnsi="DeutscheBank"/>
          <w:sz w:val="24"/>
          <w:szCs w:val="24"/>
        </w:rPr>
      </w:pPr>
      <w:r w:rsidRPr="007C3248">
        <w:rPr>
          <w:rFonts w:ascii="DeutscheBank" w:hAnsi="DeutscheBank"/>
          <w:sz w:val="24"/>
          <w:szCs w:val="24"/>
        </w:rPr>
        <w:t>the Rules of Transaction Clearing (Organised Trading), valid as of 16 July 2024 (the “</w:t>
      </w:r>
      <w:r w:rsidRPr="007C3248">
        <w:rPr>
          <w:rFonts w:ascii="DeutscheBank" w:hAnsi="DeutscheBank"/>
          <w:b/>
          <w:bCs/>
          <w:sz w:val="24"/>
          <w:szCs w:val="24"/>
        </w:rPr>
        <w:t>Organised Trading Rulebook</w:t>
      </w:r>
      <w:r w:rsidRPr="007C3248">
        <w:rPr>
          <w:rFonts w:ascii="DeutscheBank" w:hAnsi="DeutscheBank"/>
          <w:sz w:val="24"/>
          <w:szCs w:val="24"/>
        </w:rPr>
        <w:t>”); and</w:t>
      </w:r>
    </w:p>
    <w:p w14:paraId="25D0646F" w14:textId="33DBE3BF" w:rsidR="00E22666" w:rsidRPr="007C3248" w:rsidRDefault="00E22666" w:rsidP="00E22666">
      <w:pPr>
        <w:pStyle w:val="Body"/>
        <w:numPr>
          <w:ilvl w:val="0"/>
          <w:numId w:val="36"/>
        </w:numPr>
        <w:spacing w:line="290" w:lineRule="auto"/>
        <w:jc w:val="left"/>
        <w:rPr>
          <w:rFonts w:ascii="DeutscheBank" w:hAnsi="DeutscheBank"/>
          <w:sz w:val="24"/>
          <w:szCs w:val="24"/>
        </w:rPr>
      </w:pPr>
      <w:r w:rsidRPr="007C3248">
        <w:rPr>
          <w:rFonts w:ascii="DeutscheBank" w:hAnsi="DeutscheBank"/>
          <w:sz w:val="24"/>
          <w:szCs w:val="24"/>
        </w:rPr>
        <w:t>the Rules of Transaction Clearing (non-organised trading) valid as of 16 July 2024 (the “</w:t>
      </w:r>
      <w:r w:rsidRPr="007C3248">
        <w:rPr>
          <w:rFonts w:ascii="DeutscheBank" w:hAnsi="DeutscheBank"/>
          <w:b/>
          <w:bCs/>
          <w:sz w:val="24"/>
          <w:szCs w:val="24"/>
        </w:rPr>
        <w:t>Non-Organised Trading Rulebook</w:t>
      </w:r>
      <w:r w:rsidRPr="007C3248">
        <w:rPr>
          <w:rFonts w:ascii="DeutscheBank" w:hAnsi="DeutscheBank"/>
          <w:sz w:val="24"/>
          <w:szCs w:val="24"/>
        </w:rPr>
        <w:t>”),</w:t>
      </w:r>
    </w:p>
    <w:p w14:paraId="46A9C766" w14:textId="7A4194EF" w:rsidR="00E22666" w:rsidRPr="007C3248" w:rsidRDefault="00E22666" w:rsidP="00E22666">
      <w:pPr>
        <w:pStyle w:val="Body"/>
        <w:jc w:val="left"/>
        <w:rPr>
          <w:rFonts w:ascii="DeutscheBank" w:hAnsi="DeutscheBank"/>
          <w:sz w:val="24"/>
          <w:szCs w:val="24"/>
        </w:rPr>
      </w:pPr>
      <w:r w:rsidRPr="007C3248">
        <w:rPr>
          <w:rFonts w:ascii="DeutscheBank" w:hAnsi="DeutscheBank"/>
          <w:sz w:val="24"/>
          <w:szCs w:val="24"/>
        </w:rPr>
        <w:t xml:space="preserve">(together, the </w:t>
      </w:r>
      <w:r w:rsidRPr="007C3248">
        <w:rPr>
          <w:rFonts w:ascii="DeutscheBank" w:hAnsi="DeutscheBank"/>
          <w:b/>
          <w:bCs/>
          <w:sz w:val="24"/>
          <w:szCs w:val="24"/>
        </w:rPr>
        <w:t>“Rulebooks</w:t>
      </w:r>
      <w:r w:rsidRPr="007C3248">
        <w:rPr>
          <w:rFonts w:ascii="DeutscheBank" w:hAnsi="DeutscheBank"/>
          <w:sz w:val="24"/>
          <w:szCs w:val="24"/>
        </w:rPr>
        <w:t>”).</w:t>
      </w:r>
      <w:r w:rsidRPr="007C3248">
        <w:rPr>
          <w:rStyle w:val="FootnoteReference"/>
          <w:rFonts w:ascii="DeutscheBank" w:hAnsi="DeutscheBank"/>
          <w:sz w:val="24"/>
          <w:szCs w:val="24"/>
        </w:rPr>
        <w:footnoteReference w:id="2"/>
      </w:r>
      <w:r w:rsidR="00934742">
        <w:rPr>
          <w:rFonts w:ascii="DeutscheBank" w:hAnsi="DeutscheBank"/>
          <w:sz w:val="24"/>
          <w:szCs w:val="24"/>
        </w:rPr>
        <w:t xml:space="preserve"> </w:t>
      </w:r>
    </w:p>
    <w:p w14:paraId="7A535C0F" w14:textId="77777777" w:rsidR="00E22666" w:rsidRPr="007C3248" w:rsidRDefault="00E22666" w:rsidP="00E22666">
      <w:pPr>
        <w:pStyle w:val="Body1"/>
        <w:ind w:left="0"/>
        <w:rPr>
          <w:rFonts w:ascii="DeutscheBank" w:hAnsi="DeutscheBank"/>
          <w:sz w:val="24"/>
          <w:szCs w:val="24"/>
        </w:rPr>
      </w:pPr>
      <w:r w:rsidRPr="007C3248">
        <w:rPr>
          <w:rFonts w:ascii="DeutscheBank" w:hAnsi="DeutscheBank"/>
          <w:sz w:val="24"/>
          <w:szCs w:val="24"/>
        </w:rPr>
        <w:t>* indicates that while this measure is not specifically contemplated in one or more of the Rulebooks, it is likely to be available to KDPW by virtue of its general powers.</w:t>
      </w:r>
    </w:p>
    <w:tbl>
      <w:tblPr>
        <w:tblStyle w:val="TableGrid"/>
        <w:tblW w:w="8926" w:type="dxa"/>
        <w:tblLook w:val="04A0" w:firstRow="1" w:lastRow="0" w:firstColumn="1" w:lastColumn="0" w:noHBand="0" w:noVBand="1"/>
      </w:tblPr>
      <w:tblGrid>
        <w:gridCol w:w="1685"/>
        <w:gridCol w:w="1848"/>
        <w:gridCol w:w="2341"/>
        <w:gridCol w:w="3052"/>
      </w:tblGrid>
      <w:tr w:rsidR="00E22666" w:rsidRPr="007C3248" w14:paraId="5729F409" w14:textId="77777777" w:rsidTr="007F5C15">
        <w:trPr>
          <w:trHeight w:val="771"/>
        </w:trPr>
        <w:tc>
          <w:tcPr>
            <w:tcW w:w="1688" w:type="dxa"/>
            <w:shd w:val="clear" w:color="auto" w:fill="auto"/>
          </w:tcPr>
          <w:p w14:paraId="6AFF9AA4" w14:textId="77777777" w:rsidR="00E22666" w:rsidRPr="007C3248" w:rsidRDefault="00E22666" w:rsidP="007F5C15">
            <w:pPr>
              <w:rPr>
                <w:rFonts w:ascii="DeutscheBank" w:hAnsi="DeutscheBank" w:cs="Times New Roman"/>
                <w:b/>
                <w:bCs/>
              </w:rPr>
            </w:pPr>
            <w:r w:rsidRPr="007C3248">
              <w:rPr>
                <w:rFonts w:ascii="DeutscheBank" w:hAnsi="DeutscheBank" w:cs="Times New Roman"/>
                <w:b/>
                <w:bCs/>
              </w:rPr>
              <w:t>Measure</w:t>
            </w:r>
          </w:p>
        </w:tc>
        <w:tc>
          <w:tcPr>
            <w:tcW w:w="1670" w:type="dxa"/>
            <w:shd w:val="clear" w:color="auto" w:fill="auto"/>
          </w:tcPr>
          <w:p w14:paraId="6ADC74B2" w14:textId="77777777" w:rsidR="00E22666" w:rsidRPr="007C3248" w:rsidRDefault="00E22666" w:rsidP="007F5C15">
            <w:pPr>
              <w:rPr>
                <w:rFonts w:ascii="DeutscheBank" w:hAnsi="DeutscheBank" w:cs="Times New Roman"/>
                <w:b/>
                <w:bCs/>
              </w:rPr>
            </w:pPr>
            <w:r w:rsidRPr="007C3248">
              <w:rPr>
                <w:rFonts w:ascii="DeutscheBank" w:hAnsi="DeutscheBank" w:cs="Times New Roman"/>
                <w:b/>
                <w:bCs/>
              </w:rPr>
              <w:t xml:space="preserve">Contemplated in Rulebooks </w:t>
            </w:r>
          </w:p>
        </w:tc>
        <w:tc>
          <w:tcPr>
            <w:tcW w:w="2371" w:type="dxa"/>
            <w:shd w:val="clear" w:color="auto" w:fill="auto"/>
          </w:tcPr>
          <w:p w14:paraId="2675B8E4" w14:textId="62270C51" w:rsidR="00E22666" w:rsidRPr="007C3248" w:rsidRDefault="00E22666" w:rsidP="007F5C15">
            <w:pPr>
              <w:rPr>
                <w:rFonts w:ascii="DeutscheBank" w:hAnsi="DeutscheBank" w:cs="Times New Roman"/>
                <w:b/>
                <w:bCs/>
              </w:rPr>
            </w:pPr>
            <w:r w:rsidRPr="007C3248">
              <w:rPr>
                <w:rFonts w:ascii="DeutscheBank" w:hAnsi="DeutscheBank" w:cs="Times New Roman"/>
                <w:b/>
                <w:bCs/>
              </w:rPr>
              <w:t>Rulebook Reference</w:t>
            </w:r>
          </w:p>
        </w:tc>
        <w:tc>
          <w:tcPr>
            <w:tcW w:w="3197" w:type="dxa"/>
            <w:shd w:val="clear" w:color="auto" w:fill="auto"/>
          </w:tcPr>
          <w:p w14:paraId="0D42CFC8" w14:textId="77777777" w:rsidR="00E22666" w:rsidRPr="007C3248" w:rsidRDefault="00E22666" w:rsidP="007F5C15">
            <w:pPr>
              <w:rPr>
                <w:rFonts w:ascii="DeutscheBank" w:hAnsi="DeutscheBank" w:cs="Times New Roman"/>
                <w:b/>
                <w:bCs/>
              </w:rPr>
            </w:pPr>
            <w:r w:rsidRPr="007C3248">
              <w:rPr>
                <w:rFonts w:ascii="DeutscheBank" w:hAnsi="DeutscheBank" w:cs="Times New Roman"/>
                <w:b/>
                <w:bCs/>
              </w:rPr>
              <w:t>Additional Comments</w:t>
            </w:r>
          </w:p>
        </w:tc>
      </w:tr>
      <w:tr w:rsidR="00E22666" w:rsidRPr="007C3248" w14:paraId="47F28DD5" w14:textId="77777777" w:rsidTr="007F5C15">
        <w:trPr>
          <w:trHeight w:val="1728"/>
        </w:trPr>
        <w:tc>
          <w:tcPr>
            <w:tcW w:w="1688" w:type="dxa"/>
            <w:vMerge w:val="restart"/>
            <w:shd w:val="clear" w:color="auto" w:fill="auto"/>
            <w:vAlign w:val="center"/>
          </w:tcPr>
          <w:p w14:paraId="7F83E8F0" w14:textId="77777777" w:rsidR="00E22666" w:rsidRPr="007C3248" w:rsidRDefault="00E22666" w:rsidP="007F5C15">
            <w:pPr>
              <w:rPr>
                <w:rFonts w:ascii="DeutscheBank" w:hAnsi="DeutscheBank" w:cs="Times New Roman"/>
                <w:b/>
                <w:bCs/>
              </w:rPr>
            </w:pPr>
            <w:r w:rsidRPr="007C3248">
              <w:rPr>
                <w:rFonts w:ascii="DeutscheBank" w:hAnsi="DeutscheBank" w:cs="Times New Roman"/>
                <w:b/>
                <w:bCs/>
              </w:rPr>
              <w:t>Tear-up</w:t>
            </w:r>
          </w:p>
          <w:p w14:paraId="028C4011" w14:textId="77777777" w:rsidR="00E22666" w:rsidRPr="007C3248" w:rsidRDefault="00E22666" w:rsidP="007F5C15">
            <w:pPr>
              <w:rPr>
                <w:rFonts w:ascii="DeutscheBank" w:hAnsi="DeutscheBank" w:cs="Times New Roman"/>
                <w:b/>
                <w:bCs/>
              </w:rPr>
            </w:pPr>
          </w:p>
        </w:tc>
        <w:tc>
          <w:tcPr>
            <w:tcW w:w="1670" w:type="dxa"/>
            <w:vMerge w:val="restart"/>
            <w:shd w:val="clear" w:color="auto" w:fill="auto"/>
            <w:vAlign w:val="center"/>
          </w:tcPr>
          <w:p w14:paraId="59828FD6" w14:textId="77777777" w:rsidR="00E22666" w:rsidRPr="007C3248" w:rsidRDefault="00E22666" w:rsidP="007F5C15">
            <w:pPr>
              <w:jc w:val="center"/>
              <w:rPr>
                <w:rFonts w:ascii="DeutscheBank" w:hAnsi="DeutscheBank" w:cs="Times New Roman"/>
              </w:rPr>
            </w:pPr>
            <w:r w:rsidRPr="007C3248">
              <w:rPr>
                <w:rFonts w:ascii="Segoe UI Symbol" w:hAnsi="Segoe UI Symbol" w:cs="Segoe UI Symbol"/>
                <w:b/>
                <w:bCs/>
              </w:rPr>
              <w:t>✓</w:t>
            </w:r>
          </w:p>
        </w:tc>
        <w:tc>
          <w:tcPr>
            <w:tcW w:w="2371" w:type="dxa"/>
            <w:shd w:val="clear" w:color="auto" w:fill="auto"/>
            <w:vAlign w:val="center"/>
          </w:tcPr>
          <w:p w14:paraId="00D4DF69" w14:textId="77777777" w:rsidR="00E22666" w:rsidRPr="007C3248" w:rsidRDefault="00E22666" w:rsidP="007F5C15">
            <w:pPr>
              <w:rPr>
                <w:rFonts w:ascii="DeutscheBank" w:hAnsi="DeutscheBank" w:cs="Times New Roman"/>
              </w:rPr>
            </w:pPr>
            <w:r w:rsidRPr="007C3248">
              <w:rPr>
                <w:rFonts w:ascii="DeutscheBank" w:hAnsi="DeutscheBank" w:cs="Times New Roman"/>
              </w:rPr>
              <w:t>Article 65(1)(2) of the Organised Trading Rulebook</w:t>
            </w:r>
          </w:p>
          <w:p w14:paraId="018B8163" w14:textId="77777777" w:rsidR="00E22666" w:rsidRPr="007C3248" w:rsidRDefault="00E22666" w:rsidP="007F5C15">
            <w:pPr>
              <w:rPr>
                <w:rFonts w:ascii="DeutscheBank" w:hAnsi="DeutscheBank" w:cs="Times New Roman"/>
              </w:rPr>
            </w:pPr>
          </w:p>
        </w:tc>
        <w:tc>
          <w:tcPr>
            <w:tcW w:w="3197" w:type="dxa"/>
            <w:vMerge w:val="restart"/>
            <w:shd w:val="clear" w:color="auto" w:fill="auto"/>
            <w:vAlign w:val="center"/>
          </w:tcPr>
          <w:p w14:paraId="7BC176AC" w14:textId="41BEAE3A" w:rsidR="00E22666" w:rsidRPr="007C3248" w:rsidRDefault="00E22666" w:rsidP="007F5C15">
            <w:pPr>
              <w:rPr>
                <w:rFonts w:ascii="DeutscheBank" w:hAnsi="DeutscheBank" w:cs="Times New Roman"/>
              </w:rPr>
            </w:pPr>
            <w:r w:rsidRPr="007C3248">
              <w:rPr>
                <w:rFonts w:ascii="DeutscheBank" w:hAnsi="DeutscheBank" w:cs="Times New Roman"/>
              </w:rPr>
              <w:t>KDPW may only effect a tear-up (in whole or in part) of the positions held by non-defaulting clearing members: (i) after three auctions have been held; and (ii) subject to the consent of clearing members party to at least two thirds of the value of the positions recorded in</w:t>
            </w:r>
            <w:r w:rsidR="007C3248">
              <w:rPr>
                <w:rFonts w:ascii="DeutscheBank" w:hAnsi="DeutscheBank" w:cs="Times New Roman"/>
              </w:rPr>
              <w:t xml:space="preserve"> </w:t>
            </w:r>
            <w:r w:rsidRPr="007C3248">
              <w:rPr>
                <w:rFonts w:ascii="DeutscheBank" w:hAnsi="DeutscheBank" w:cs="Times New Roman"/>
              </w:rPr>
              <w:t xml:space="preserve">the clearing system that are affected by such tear-up. </w:t>
            </w:r>
          </w:p>
        </w:tc>
      </w:tr>
      <w:tr w:rsidR="00E22666" w:rsidRPr="007C3248" w14:paraId="14FBA438" w14:textId="77777777" w:rsidTr="007F5C15">
        <w:trPr>
          <w:trHeight w:val="1728"/>
        </w:trPr>
        <w:tc>
          <w:tcPr>
            <w:tcW w:w="1688" w:type="dxa"/>
            <w:vMerge/>
            <w:shd w:val="clear" w:color="auto" w:fill="auto"/>
            <w:vAlign w:val="center"/>
          </w:tcPr>
          <w:p w14:paraId="3F380D34" w14:textId="77777777" w:rsidR="00E22666" w:rsidRPr="007C3248" w:rsidRDefault="00E22666" w:rsidP="007F5C15">
            <w:pPr>
              <w:rPr>
                <w:rFonts w:ascii="DeutscheBank" w:hAnsi="DeutscheBank" w:cs="Times New Roman"/>
                <w:b/>
                <w:bCs/>
              </w:rPr>
            </w:pPr>
          </w:p>
        </w:tc>
        <w:tc>
          <w:tcPr>
            <w:tcW w:w="1670" w:type="dxa"/>
            <w:vMerge/>
            <w:shd w:val="clear" w:color="auto" w:fill="auto"/>
            <w:vAlign w:val="center"/>
          </w:tcPr>
          <w:p w14:paraId="645F6226" w14:textId="77777777" w:rsidR="00E22666" w:rsidRPr="007C3248" w:rsidRDefault="00E22666" w:rsidP="007F5C15">
            <w:pPr>
              <w:jc w:val="center"/>
              <w:rPr>
                <w:rFonts w:ascii="DeutscheBank" w:hAnsi="DeutscheBank" w:cs="Segoe UI Symbol"/>
                <w:b/>
                <w:bCs/>
              </w:rPr>
            </w:pPr>
          </w:p>
        </w:tc>
        <w:tc>
          <w:tcPr>
            <w:tcW w:w="2371" w:type="dxa"/>
            <w:shd w:val="clear" w:color="auto" w:fill="auto"/>
            <w:vAlign w:val="center"/>
          </w:tcPr>
          <w:p w14:paraId="3A4538FA" w14:textId="77777777" w:rsidR="00E22666" w:rsidRPr="007C3248" w:rsidRDefault="00E22666" w:rsidP="007F5C15">
            <w:pPr>
              <w:rPr>
                <w:rFonts w:ascii="DeutscheBank" w:hAnsi="DeutscheBank" w:cs="Times New Roman"/>
              </w:rPr>
            </w:pPr>
            <w:r w:rsidRPr="007C3248">
              <w:rPr>
                <w:rFonts w:ascii="DeutscheBank" w:hAnsi="DeutscheBank" w:cs="Times New Roman"/>
              </w:rPr>
              <w:t>Article 108b(1)(2) of the Non-Organised Trading Rulebook</w:t>
            </w:r>
          </w:p>
        </w:tc>
        <w:tc>
          <w:tcPr>
            <w:tcW w:w="3197" w:type="dxa"/>
            <w:vMerge/>
            <w:shd w:val="clear" w:color="auto" w:fill="auto"/>
            <w:vAlign w:val="center"/>
          </w:tcPr>
          <w:p w14:paraId="0CA79B40" w14:textId="77777777" w:rsidR="00E22666" w:rsidRPr="007C3248" w:rsidRDefault="00E22666" w:rsidP="007F5C15">
            <w:pPr>
              <w:rPr>
                <w:rFonts w:ascii="DeutscheBank" w:hAnsi="DeutscheBank" w:cs="Times New Roman"/>
              </w:rPr>
            </w:pPr>
          </w:p>
        </w:tc>
      </w:tr>
      <w:tr w:rsidR="00E22666" w:rsidRPr="007C3248" w14:paraId="5D86751A" w14:textId="77777777" w:rsidTr="007F5C15">
        <w:trPr>
          <w:trHeight w:val="341"/>
        </w:trPr>
        <w:tc>
          <w:tcPr>
            <w:tcW w:w="1688" w:type="dxa"/>
            <w:shd w:val="clear" w:color="auto" w:fill="auto"/>
            <w:vAlign w:val="center"/>
          </w:tcPr>
          <w:p w14:paraId="14D7B424" w14:textId="77777777" w:rsidR="00E22666" w:rsidRPr="007C3248" w:rsidRDefault="00E22666" w:rsidP="007F5C15">
            <w:pPr>
              <w:rPr>
                <w:rFonts w:ascii="DeutscheBank" w:hAnsi="DeutscheBank" w:cs="Times New Roman"/>
                <w:b/>
                <w:bCs/>
              </w:rPr>
            </w:pPr>
            <w:r w:rsidRPr="007C3248">
              <w:rPr>
                <w:rFonts w:ascii="DeutscheBank" w:hAnsi="DeutscheBank" w:cs="Times New Roman"/>
                <w:b/>
                <w:bCs/>
              </w:rPr>
              <w:lastRenderedPageBreak/>
              <w:t>Invoicing Back</w:t>
            </w:r>
          </w:p>
        </w:tc>
        <w:tc>
          <w:tcPr>
            <w:tcW w:w="1670" w:type="dxa"/>
            <w:shd w:val="clear" w:color="auto" w:fill="auto"/>
            <w:vAlign w:val="center"/>
          </w:tcPr>
          <w:p w14:paraId="32267A9B"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x*</w:t>
            </w:r>
          </w:p>
        </w:tc>
        <w:tc>
          <w:tcPr>
            <w:tcW w:w="2371" w:type="dxa"/>
            <w:shd w:val="clear" w:color="auto" w:fill="auto"/>
            <w:vAlign w:val="center"/>
          </w:tcPr>
          <w:p w14:paraId="093A68A0"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n/a</w:t>
            </w:r>
          </w:p>
        </w:tc>
        <w:tc>
          <w:tcPr>
            <w:tcW w:w="3197" w:type="dxa"/>
            <w:shd w:val="clear" w:color="auto" w:fill="auto"/>
            <w:vAlign w:val="center"/>
          </w:tcPr>
          <w:p w14:paraId="20CC6D36"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n/a</w:t>
            </w:r>
          </w:p>
        </w:tc>
      </w:tr>
      <w:tr w:rsidR="00E22666" w:rsidRPr="007C3248" w14:paraId="774592FB" w14:textId="77777777" w:rsidTr="007F5C15">
        <w:trPr>
          <w:trHeight w:val="1976"/>
        </w:trPr>
        <w:tc>
          <w:tcPr>
            <w:tcW w:w="1688" w:type="dxa"/>
            <w:shd w:val="clear" w:color="auto" w:fill="auto"/>
            <w:vAlign w:val="center"/>
          </w:tcPr>
          <w:p w14:paraId="0A47410A" w14:textId="77777777" w:rsidR="00E22666" w:rsidRPr="007C3248" w:rsidRDefault="00E22666" w:rsidP="007F5C15">
            <w:pPr>
              <w:rPr>
                <w:rFonts w:ascii="DeutscheBank" w:hAnsi="DeutscheBank" w:cs="Times New Roman"/>
                <w:b/>
                <w:bCs/>
              </w:rPr>
            </w:pPr>
            <w:r w:rsidRPr="007C3248">
              <w:rPr>
                <w:rFonts w:ascii="DeutscheBank" w:hAnsi="DeutscheBank" w:cs="Times New Roman"/>
                <w:b/>
                <w:bCs/>
              </w:rPr>
              <w:t>Forced Allocation</w:t>
            </w:r>
          </w:p>
        </w:tc>
        <w:tc>
          <w:tcPr>
            <w:tcW w:w="1670" w:type="dxa"/>
            <w:shd w:val="clear" w:color="auto" w:fill="auto"/>
            <w:vAlign w:val="center"/>
          </w:tcPr>
          <w:p w14:paraId="6A96C0E5"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x*</w:t>
            </w:r>
          </w:p>
        </w:tc>
        <w:tc>
          <w:tcPr>
            <w:tcW w:w="2371" w:type="dxa"/>
            <w:shd w:val="clear" w:color="auto" w:fill="auto"/>
            <w:vAlign w:val="center"/>
          </w:tcPr>
          <w:p w14:paraId="34730E19"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n/a</w:t>
            </w:r>
          </w:p>
        </w:tc>
        <w:tc>
          <w:tcPr>
            <w:tcW w:w="3197" w:type="dxa"/>
            <w:shd w:val="clear" w:color="auto" w:fill="auto"/>
            <w:vAlign w:val="center"/>
          </w:tcPr>
          <w:p w14:paraId="3CF0A70E"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n/a</w:t>
            </w:r>
          </w:p>
        </w:tc>
      </w:tr>
      <w:tr w:rsidR="00E22666" w:rsidRPr="007C3248" w14:paraId="740AFF01" w14:textId="77777777" w:rsidTr="007F5C15">
        <w:trPr>
          <w:trHeight w:val="2192"/>
        </w:trPr>
        <w:tc>
          <w:tcPr>
            <w:tcW w:w="1688" w:type="dxa"/>
            <w:vMerge w:val="restart"/>
            <w:shd w:val="clear" w:color="auto" w:fill="auto"/>
            <w:vAlign w:val="center"/>
          </w:tcPr>
          <w:p w14:paraId="4324B1A7" w14:textId="77777777" w:rsidR="00E22666" w:rsidRPr="007C3248" w:rsidRDefault="00E22666" w:rsidP="007F5C15">
            <w:pPr>
              <w:rPr>
                <w:rFonts w:ascii="DeutscheBank" w:hAnsi="DeutscheBank" w:cs="Times New Roman"/>
                <w:b/>
                <w:bCs/>
              </w:rPr>
            </w:pPr>
            <w:r w:rsidRPr="007C3248">
              <w:rPr>
                <w:rFonts w:ascii="DeutscheBank" w:hAnsi="DeutscheBank" w:cs="Times New Roman"/>
                <w:b/>
                <w:bCs/>
              </w:rPr>
              <w:t>Variation Margin Gains Haircutting (VMGH)</w:t>
            </w:r>
          </w:p>
        </w:tc>
        <w:tc>
          <w:tcPr>
            <w:tcW w:w="1670" w:type="dxa"/>
            <w:vMerge w:val="restart"/>
            <w:shd w:val="clear" w:color="auto" w:fill="auto"/>
            <w:vAlign w:val="center"/>
          </w:tcPr>
          <w:p w14:paraId="71C020EB" w14:textId="77777777" w:rsidR="00E22666" w:rsidRPr="007C3248" w:rsidRDefault="00E22666" w:rsidP="007F5C15">
            <w:pPr>
              <w:jc w:val="center"/>
              <w:rPr>
                <w:rFonts w:ascii="DeutscheBank" w:hAnsi="DeutscheBank" w:cs="Times New Roman"/>
              </w:rPr>
            </w:pPr>
            <w:r w:rsidRPr="007C3248">
              <w:rPr>
                <w:rFonts w:ascii="Segoe UI Symbol" w:hAnsi="Segoe UI Symbol" w:cs="Segoe UI Symbol"/>
                <w:b/>
                <w:bCs/>
              </w:rPr>
              <w:t>✓</w:t>
            </w:r>
          </w:p>
        </w:tc>
        <w:tc>
          <w:tcPr>
            <w:tcW w:w="2371" w:type="dxa"/>
            <w:shd w:val="clear" w:color="auto" w:fill="auto"/>
            <w:vAlign w:val="center"/>
          </w:tcPr>
          <w:p w14:paraId="72BBBB9F"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Articles 65(1)(1) and 65a of the Organised Trading Rulebook</w:t>
            </w:r>
          </w:p>
          <w:p w14:paraId="2719C477" w14:textId="77777777" w:rsidR="00E22666" w:rsidRPr="007C3248" w:rsidRDefault="00E22666" w:rsidP="007F5C15">
            <w:pPr>
              <w:jc w:val="center"/>
              <w:rPr>
                <w:rFonts w:ascii="DeutscheBank" w:hAnsi="DeutscheBank" w:cs="Times New Roman"/>
              </w:rPr>
            </w:pPr>
          </w:p>
        </w:tc>
        <w:tc>
          <w:tcPr>
            <w:tcW w:w="3197" w:type="dxa"/>
            <w:vMerge w:val="restart"/>
            <w:shd w:val="clear" w:color="auto" w:fill="auto"/>
            <w:vAlign w:val="center"/>
          </w:tcPr>
          <w:p w14:paraId="74CB217D" w14:textId="032CB995" w:rsidR="00E22666" w:rsidRPr="007C3248" w:rsidRDefault="00E22666" w:rsidP="00BA62DB">
            <w:pPr>
              <w:rPr>
                <w:rFonts w:ascii="DeutscheBank" w:hAnsi="DeutscheBank" w:cs="Times New Roman"/>
              </w:rPr>
            </w:pPr>
            <w:r w:rsidRPr="007C3248">
              <w:rPr>
                <w:rFonts w:ascii="DeutscheBank" w:hAnsi="DeutscheBank" w:cs="Times New Roman"/>
              </w:rPr>
              <w:t>VMGH may only be effected with the consent of clearing members party to at least two thirds of the value of the positions recorded in</w:t>
            </w:r>
            <w:r w:rsidR="00BA62DB">
              <w:rPr>
                <w:rFonts w:ascii="DeutscheBank" w:hAnsi="DeutscheBank" w:cs="Times New Roman"/>
              </w:rPr>
              <w:t xml:space="preserve"> </w:t>
            </w:r>
            <w:r w:rsidRPr="007C3248">
              <w:rPr>
                <w:rFonts w:ascii="DeutscheBank" w:hAnsi="DeutscheBank" w:cs="Times New Roman"/>
              </w:rPr>
              <w:t>the clearing system that are affected by such VMGH.</w:t>
            </w:r>
          </w:p>
          <w:p w14:paraId="2FD0B05F"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Under the Organised Trading Rulebook, VMGH may reduce the financial benefits or interest coupons payable to a clearing member by KDPW. Under the Non-Organised Trading Rulebook, VMGH may reduce the variation margin or settlement amount payable to a clearing member by KDPW.</w:t>
            </w:r>
          </w:p>
        </w:tc>
      </w:tr>
      <w:tr w:rsidR="00E22666" w:rsidRPr="007C3248" w14:paraId="5CE037E5" w14:textId="77777777" w:rsidTr="007F5C15">
        <w:trPr>
          <w:trHeight w:val="2191"/>
        </w:trPr>
        <w:tc>
          <w:tcPr>
            <w:tcW w:w="1688" w:type="dxa"/>
            <w:vMerge/>
            <w:shd w:val="clear" w:color="auto" w:fill="auto"/>
            <w:vAlign w:val="center"/>
          </w:tcPr>
          <w:p w14:paraId="64E5C90A" w14:textId="77777777" w:rsidR="00E22666" w:rsidRPr="007C3248" w:rsidRDefault="00E22666" w:rsidP="007F5C15">
            <w:pPr>
              <w:rPr>
                <w:rFonts w:ascii="DeutscheBank" w:hAnsi="DeutscheBank" w:cs="Times New Roman"/>
                <w:b/>
                <w:bCs/>
              </w:rPr>
            </w:pPr>
          </w:p>
        </w:tc>
        <w:tc>
          <w:tcPr>
            <w:tcW w:w="1670" w:type="dxa"/>
            <w:vMerge/>
            <w:shd w:val="clear" w:color="auto" w:fill="auto"/>
            <w:vAlign w:val="center"/>
          </w:tcPr>
          <w:p w14:paraId="5E5E7240" w14:textId="77777777" w:rsidR="00E22666" w:rsidRPr="007C3248" w:rsidRDefault="00E22666" w:rsidP="007F5C15">
            <w:pPr>
              <w:jc w:val="center"/>
              <w:rPr>
                <w:rFonts w:ascii="DeutscheBank" w:hAnsi="DeutscheBank" w:cs="Segoe UI Symbol"/>
                <w:b/>
                <w:bCs/>
              </w:rPr>
            </w:pPr>
          </w:p>
        </w:tc>
        <w:tc>
          <w:tcPr>
            <w:tcW w:w="2371" w:type="dxa"/>
            <w:shd w:val="clear" w:color="auto" w:fill="auto"/>
            <w:vAlign w:val="center"/>
          </w:tcPr>
          <w:p w14:paraId="6851F77C"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Article108b(1)(1) and 108c of the Non-Organised Trading Rulebook</w:t>
            </w:r>
          </w:p>
          <w:p w14:paraId="2B904204" w14:textId="77777777" w:rsidR="00E22666" w:rsidRPr="007C3248" w:rsidRDefault="00E22666" w:rsidP="007F5C15">
            <w:pPr>
              <w:jc w:val="center"/>
              <w:rPr>
                <w:rFonts w:ascii="DeutscheBank" w:hAnsi="DeutscheBank" w:cs="Times New Roman"/>
              </w:rPr>
            </w:pPr>
          </w:p>
        </w:tc>
        <w:tc>
          <w:tcPr>
            <w:tcW w:w="3197" w:type="dxa"/>
            <w:vMerge/>
            <w:shd w:val="clear" w:color="auto" w:fill="auto"/>
            <w:vAlign w:val="center"/>
          </w:tcPr>
          <w:p w14:paraId="5841517E" w14:textId="77777777" w:rsidR="00E22666" w:rsidRPr="007C3248" w:rsidRDefault="00E22666" w:rsidP="007F5C15">
            <w:pPr>
              <w:rPr>
                <w:rFonts w:ascii="DeutscheBank" w:hAnsi="DeutscheBank" w:cs="Times New Roman"/>
              </w:rPr>
            </w:pPr>
          </w:p>
        </w:tc>
      </w:tr>
      <w:tr w:rsidR="00E22666" w:rsidRPr="007C3248" w14:paraId="04E4E5EC" w14:textId="77777777" w:rsidTr="007F5C15">
        <w:trPr>
          <w:trHeight w:val="1152"/>
        </w:trPr>
        <w:tc>
          <w:tcPr>
            <w:tcW w:w="1688" w:type="dxa"/>
            <w:vMerge w:val="restart"/>
            <w:shd w:val="clear" w:color="auto" w:fill="auto"/>
            <w:vAlign w:val="center"/>
          </w:tcPr>
          <w:p w14:paraId="20CD4654" w14:textId="77777777" w:rsidR="00E22666" w:rsidRPr="007C3248" w:rsidRDefault="00E22666" w:rsidP="007F5C15">
            <w:pPr>
              <w:rPr>
                <w:rFonts w:ascii="DeutscheBank" w:hAnsi="DeutscheBank" w:cs="Times New Roman"/>
                <w:b/>
                <w:bCs/>
              </w:rPr>
            </w:pPr>
            <w:r w:rsidRPr="007C3248">
              <w:rPr>
                <w:rFonts w:ascii="DeutscheBank" w:hAnsi="DeutscheBank" w:cs="Times New Roman"/>
                <w:b/>
                <w:bCs/>
              </w:rPr>
              <w:t>Assessments</w:t>
            </w:r>
          </w:p>
        </w:tc>
        <w:tc>
          <w:tcPr>
            <w:tcW w:w="1670" w:type="dxa"/>
            <w:vMerge w:val="restart"/>
            <w:shd w:val="clear" w:color="auto" w:fill="auto"/>
            <w:vAlign w:val="center"/>
          </w:tcPr>
          <w:p w14:paraId="7E0FBAD6" w14:textId="77777777" w:rsidR="00E22666" w:rsidRPr="007C3248" w:rsidRDefault="00E22666" w:rsidP="007F5C15">
            <w:pPr>
              <w:jc w:val="center"/>
              <w:rPr>
                <w:rFonts w:ascii="DeutscheBank" w:hAnsi="DeutscheBank" w:cs="Times New Roman"/>
              </w:rPr>
            </w:pPr>
            <w:r w:rsidRPr="007C3248">
              <w:rPr>
                <w:rFonts w:ascii="Segoe UI Symbol" w:hAnsi="Segoe UI Symbol" w:cs="Segoe UI Symbol"/>
                <w:b/>
                <w:bCs/>
              </w:rPr>
              <w:t>✓</w:t>
            </w:r>
          </w:p>
        </w:tc>
        <w:tc>
          <w:tcPr>
            <w:tcW w:w="2371" w:type="dxa"/>
            <w:shd w:val="clear" w:color="auto" w:fill="auto"/>
            <w:vAlign w:val="center"/>
          </w:tcPr>
          <w:p w14:paraId="3C7F9808" w14:textId="77777777" w:rsidR="00E22666" w:rsidRPr="007C3248" w:rsidRDefault="00E22666" w:rsidP="007F5C15">
            <w:pPr>
              <w:rPr>
                <w:rFonts w:ascii="DeutscheBank" w:hAnsi="DeutscheBank" w:cs="Times New Roman"/>
              </w:rPr>
            </w:pPr>
            <w:r w:rsidRPr="007C3248">
              <w:rPr>
                <w:rFonts w:ascii="DeutscheBank" w:hAnsi="DeutscheBank" w:cs="Times New Roman"/>
              </w:rPr>
              <w:t>Article 66 of the Organised Trading Rulebook</w:t>
            </w:r>
          </w:p>
          <w:p w14:paraId="05F84127" w14:textId="77777777" w:rsidR="00E22666" w:rsidRPr="007C3248" w:rsidRDefault="00E22666" w:rsidP="007F5C15">
            <w:pPr>
              <w:rPr>
                <w:rFonts w:ascii="DeutscheBank" w:hAnsi="DeutscheBank" w:cs="Times New Roman"/>
              </w:rPr>
            </w:pPr>
          </w:p>
        </w:tc>
        <w:tc>
          <w:tcPr>
            <w:tcW w:w="3197" w:type="dxa"/>
            <w:vMerge w:val="restart"/>
            <w:shd w:val="clear" w:color="auto" w:fill="auto"/>
            <w:vAlign w:val="center"/>
          </w:tcPr>
          <w:p w14:paraId="1FE82B45"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There is a cap on the amount of assessments that may be called.</w:t>
            </w:r>
          </w:p>
          <w:p w14:paraId="68D9C198" w14:textId="65D82B72" w:rsidR="00E22666" w:rsidRPr="007C3248" w:rsidRDefault="00E22666" w:rsidP="00BA62DB">
            <w:pPr>
              <w:jc w:val="center"/>
              <w:rPr>
                <w:rFonts w:ascii="DeutscheBank" w:hAnsi="DeutscheBank" w:cs="Times New Roman"/>
              </w:rPr>
            </w:pPr>
            <w:r w:rsidRPr="007C3248">
              <w:rPr>
                <w:rFonts w:ascii="DeutscheBank" w:hAnsi="DeutscheBank" w:cs="Times New Roman"/>
              </w:rPr>
              <w:lastRenderedPageBreak/>
              <w:t>Under the Rulebooks,</w:t>
            </w:r>
            <w:r w:rsidRPr="007C3248">
              <w:rPr>
                <w:rStyle w:val="FootnoteReference"/>
                <w:rFonts w:ascii="DeutscheBank" w:hAnsi="DeutscheBank" w:cs="Times New Roman"/>
              </w:rPr>
              <w:footnoteReference w:id="3"/>
            </w:r>
            <w:r w:rsidRPr="007C3248">
              <w:rPr>
                <w:rFonts w:ascii="DeutscheBank" w:hAnsi="DeutscheBank" w:cs="Times New Roman"/>
              </w:rPr>
              <w:t xml:space="preserve"> clearing members may not be called for greater than 100% of their existing maximum contributions.</w:t>
            </w:r>
          </w:p>
        </w:tc>
      </w:tr>
      <w:tr w:rsidR="00E22666" w:rsidRPr="007C3248" w14:paraId="5267F71E" w14:textId="77777777" w:rsidTr="007F5C15">
        <w:trPr>
          <w:trHeight w:val="1152"/>
        </w:trPr>
        <w:tc>
          <w:tcPr>
            <w:tcW w:w="1688" w:type="dxa"/>
            <w:vMerge/>
            <w:shd w:val="clear" w:color="auto" w:fill="auto"/>
            <w:vAlign w:val="center"/>
          </w:tcPr>
          <w:p w14:paraId="5C555251" w14:textId="77777777" w:rsidR="00E22666" w:rsidRPr="007C3248" w:rsidRDefault="00E22666" w:rsidP="007F5C15">
            <w:pPr>
              <w:rPr>
                <w:rFonts w:ascii="DeutscheBank" w:hAnsi="DeutscheBank" w:cs="Times New Roman"/>
                <w:b/>
                <w:bCs/>
              </w:rPr>
            </w:pPr>
          </w:p>
        </w:tc>
        <w:tc>
          <w:tcPr>
            <w:tcW w:w="1670" w:type="dxa"/>
            <w:vMerge/>
            <w:shd w:val="clear" w:color="auto" w:fill="auto"/>
            <w:vAlign w:val="center"/>
          </w:tcPr>
          <w:p w14:paraId="5043E77C" w14:textId="77777777" w:rsidR="00E22666" w:rsidRPr="007C3248" w:rsidRDefault="00E22666" w:rsidP="007F5C15">
            <w:pPr>
              <w:jc w:val="center"/>
              <w:rPr>
                <w:rFonts w:ascii="DeutscheBank" w:hAnsi="DeutscheBank" w:cs="Segoe UI Symbol"/>
                <w:b/>
                <w:bCs/>
              </w:rPr>
            </w:pPr>
          </w:p>
        </w:tc>
        <w:tc>
          <w:tcPr>
            <w:tcW w:w="2371" w:type="dxa"/>
            <w:shd w:val="clear" w:color="auto" w:fill="auto"/>
            <w:vAlign w:val="center"/>
          </w:tcPr>
          <w:p w14:paraId="581455C4" w14:textId="77777777" w:rsidR="00E22666" w:rsidRPr="007C3248" w:rsidRDefault="00E22666" w:rsidP="007F5C15">
            <w:pPr>
              <w:rPr>
                <w:rFonts w:ascii="DeutscheBank" w:hAnsi="DeutscheBank" w:cs="Times New Roman"/>
              </w:rPr>
            </w:pPr>
            <w:r w:rsidRPr="007C3248">
              <w:rPr>
                <w:rFonts w:ascii="DeutscheBank" w:hAnsi="DeutscheBank" w:cs="Times New Roman"/>
              </w:rPr>
              <w:t>Articles 108 and108a of the Non-Organised Trading Rulebook</w:t>
            </w:r>
          </w:p>
        </w:tc>
        <w:tc>
          <w:tcPr>
            <w:tcW w:w="3197" w:type="dxa"/>
            <w:vMerge/>
            <w:shd w:val="clear" w:color="auto" w:fill="auto"/>
            <w:vAlign w:val="center"/>
          </w:tcPr>
          <w:p w14:paraId="1F2B1240" w14:textId="77777777" w:rsidR="00E22666" w:rsidRPr="007C3248" w:rsidRDefault="00E22666" w:rsidP="007F5C15">
            <w:pPr>
              <w:jc w:val="center"/>
              <w:rPr>
                <w:rFonts w:ascii="DeutscheBank" w:hAnsi="DeutscheBank" w:cs="Times New Roman"/>
              </w:rPr>
            </w:pPr>
          </w:p>
        </w:tc>
      </w:tr>
      <w:tr w:rsidR="00E22666" w:rsidRPr="007C3248" w14:paraId="7FA47560" w14:textId="77777777" w:rsidTr="007F5C15">
        <w:trPr>
          <w:trHeight w:val="1040"/>
        </w:trPr>
        <w:tc>
          <w:tcPr>
            <w:tcW w:w="1688" w:type="dxa"/>
            <w:vMerge w:val="restart"/>
            <w:shd w:val="clear" w:color="auto" w:fill="auto"/>
            <w:vAlign w:val="center"/>
          </w:tcPr>
          <w:p w14:paraId="798019E1" w14:textId="77777777" w:rsidR="00E22666" w:rsidRPr="007C3248" w:rsidRDefault="00E22666" w:rsidP="007F5C15">
            <w:pPr>
              <w:rPr>
                <w:rFonts w:ascii="DeutscheBank" w:hAnsi="DeutscheBank" w:cs="Times New Roman"/>
                <w:b/>
                <w:bCs/>
              </w:rPr>
            </w:pPr>
            <w:r w:rsidRPr="007C3248">
              <w:rPr>
                <w:rFonts w:ascii="DeutscheBank" w:hAnsi="DeutscheBank" w:cs="Times New Roman"/>
                <w:b/>
                <w:bCs/>
              </w:rPr>
              <w:t>Changes to Margin Criteria</w:t>
            </w:r>
          </w:p>
        </w:tc>
        <w:tc>
          <w:tcPr>
            <w:tcW w:w="1670" w:type="dxa"/>
            <w:vMerge w:val="restart"/>
            <w:shd w:val="clear" w:color="auto" w:fill="auto"/>
            <w:vAlign w:val="center"/>
          </w:tcPr>
          <w:p w14:paraId="426DC0BA" w14:textId="77777777" w:rsidR="00E22666" w:rsidRPr="007C3248" w:rsidRDefault="00E22666" w:rsidP="007F5C15">
            <w:pPr>
              <w:jc w:val="center"/>
              <w:rPr>
                <w:rFonts w:ascii="DeutscheBank" w:hAnsi="DeutscheBank" w:cs="Times New Roman"/>
                <w:b/>
                <w:bCs/>
              </w:rPr>
            </w:pPr>
            <w:r w:rsidRPr="007C3248">
              <w:rPr>
                <w:rFonts w:ascii="Segoe UI Symbol" w:hAnsi="Segoe UI Symbol" w:cs="Segoe UI Symbol"/>
                <w:b/>
                <w:bCs/>
              </w:rPr>
              <w:t>✓</w:t>
            </w:r>
          </w:p>
        </w:tc>
        <w:tc>
          <w:tcPr>
            <w:tcW w:w="2371" w:type="dxa"/>
            <w:shd w:val="clear" w:color="auto" w:fill="auto"/>
            <w:vAlign w:val="center"/>
          </w:tcPr>
          <w:p w14:paraId="0787804E" w14:textId="77777777" w:rsidR="00E22666" w:rsidRPr="007C3248" w:rsidRDefault="00E22666" w:rsidP="007F5C15">
            <w:pPr>
              <w:rPr>
                <w:rFonts w:ascii="DeutscheBank" w:hAnsi="DeutscheBank" w:cs="Times New Roman"/>
              </w:rPr>
            </w:pPr>
            <w:r w:rsidRPr="007C3248">
              <w:rPr>
                <w:rFonts w:ascii="DeutscheBank" w:hAnsi="DeutscheBank" w:cs="Times New Roman"/>
              </w:rPr>
              <w:t>Articles 2 and 47 of the Organised Trading Rulebook</w:t>
            </w:r>
          </w:p>
          <w:p w14:paraId="7451F6EA" w14:textId="77777777" w:rsidR="00E22666" w:rsidRPr="007C3248" w:rsidRDefault="00E22666" w:rsidP="007F5C15">
            <w:pPr>
              <w:rPr>
                <w:rFonts w:ascii="DeutscheBank" w:hAnsi="DeutscheBank" w:cs="Times New Roman"/>
              </w:rPr>
            </w:pPr>
          </w:p>
        </w:tc>
        <w:tc>
          <w:tcPr>
            <w:tcW w:w="3197" w:type="dxa"/>
            <w:vMerge w:val="restart"/>
            <w:shd w:val="clear" w:color="auto" w:fill="auto"/>
            <w:vAlign w:val="center"/>
          </w:tcPr>
          <w:p w14:paraId="077A7343" w14:textId="77777777" w:rsidR="00E22666" w:rsidRPr="007C3248" w:rsidRDefault="00E22666" w:rsidP="007F5C15">
            <w:pPr>
              <w:rPr>
                <w:rFonts w:ascii="DeutscheBank" w:hAnsi="DeutscheBank" w:cs="Times New Roman"/>
              </w:rPr>
            </w:pPr>
            <w:r w:rsidRPr="007C3248">
              <w:rPr>
                <w:rFonts w:ascii="DeutscheBank" w:hAnsi="DeutscheBank" w:cs="Times New Roman"/>
              </w:rPr>
              <w:t>-</w:t>
            </w:r>
          </w:p>
        </w:tc>
      </w:tr>
      <w:tr w:rsidR="00E22666" w:rsidRPr="007C3248" w14:paraId="6EFE4F94" w14:textId="77777777" w:rsidTr="007F5C15">
        <w:trPr>
          <w:trHeight w:val="1039"/>
        </w:trPr>
        <w:tc>
          <w:tcPr>
            <w:tcW w:w="1688" w:type="dxa"/>
            <w:vMerge/>
            <w:shd w:val="clear" w:color="auto" w:fill="auto"/>
            <w:vAlign w:val="center"/>
          </w:tcPr>
          <w:p w14:paraId="6337F23D" w14:textId="77777777" w:rsidR="00E22666" w:rsidRPr="007C3248" w:rsidRDefault="00E22666" w:rsidP="007F5C15">
            <w:pPr>
              <w:rPr>
                <w:rFonts w:ascii="DeutscheBank" w:hAnsi="DeutscheBank" w:cs="Times New Roman"/>
                <w:b/>
                <w:bCs/>
              </w:rPr>
            </w:pPr>
          </w:p>
        </w:tc>
        <w:tc>
          <w:tcPr>
            <w:tcW w:w="1670" w:type="dxa"/>
            <w:vMerge/>
            <w:shd w:val="clear" w:color="auto" w:fill="auto"/>
            <w:vAlign w:val="center"/>
          </w:tcPr>
          <w:p w14:paraId="7454EC7E" w14:textId="77777777" w:rsidR="00E22666" w:rsidRPr="007C3248" w:rsidRDefault="00E22666" w:rsidP="007F5C15">
            <w:pPr>
              <w:jc w:val="center"/>
              <w:rPr>
                <w:rFonts w:ascii="DeutscheBank" w:hAnsi="DeutscheBank" w:cs="Segoe UI Symbol"/>
                <w:b/>
                <w:bCs/>
              </w:rPr>
            </w:pPr>
          </w:p>
        </w:tc>
        <w:tc>
          <w:tcPr>
            <w:tcW w:w="2371" w:type="dxa"/>
            <w:shd w:val="clear" w:color="auto" w:fill="auto"/>
            <w:vAlign w:val="center"/>
          </w:tcPr>
          <w:p w14:paraId="790191E9" w14:textId="77777777" w:rsidR="00E22666" w:rsidRPr="007C3248" w:rsidDel="00F6532B" w:rsidRDefault="00E22666" w:rsidP="007F5C15">
            <w:pPr>
              <w:rPr>
                <w:rFonts w:ascii="DeutscheBank" w:hAnsi="DeutscheBank" w:cs="Times New Roman"/>
              </w:rPr>
            </w:pPr>
            <w:r w:rsidRPr="007C3248">
              <w:rPr>
                <w:rFonts w:ascii="DeutscheBank" w:hAnsi="DeutscheBank" w:cs="Times New Roman"/>
              </w:rPr>
              <w:t>Articles 3 and 79 of the Non-Organised Trading Rulebook</w:t>
            </w:r>
          </w:p>
        </w:tc>
        <w:tc>
          <w:tcPr>
            <w:tcW w:w="3197" w:type="dxa"/>
            <w:vMerge/>
            <w:shd w:val="clear" w:color="auto" w:fill="auto"/>
            <w:vAlign w:val="center"/>
          </w:tcPr>
          <w:p w14:paraId="4C478677" w14:textId="77777777" w:rsidR="00E22666" w:rsidRPr="007C3248" w:rsidRDefault="00E22666" w:rsidP="007F5C15">
            <w:pPr>
              <w:rPr>
                <w:rFonts w:ascii="DeutscheBank" w:hAnsi="DeutscheBank" w:cs="Times New Roman"/>
              </w:rPr>
            </w:pPr>
          </w:p>
        </w:tc>
      </w:tr>
      <w:tr w:rsidR="00E22666" w:rsidRPr="007C3248" w14:paraId="5E1EEBFD" w14:textId="77777777" w:rsidTr="007F5C15">
        <w:trPr>
          <w:trHeight w:val="969"/>
        </w:trPr>
        <w:tc>
          <w:tcPr>
            <w:tcW w:w="1688" w:type="dxa"/>
            <w:shd w:val="clear" w:color="auto" w:fill="auto"/>
            <w:vAlign w:val="center"/>
          </w:tcPr>
          <w:p w14:paraId="2D3FE47E" w14:textId="77777777" w:rsidR="00E22666" w:rsidRPr="007C3248" w:rsidRDefault="00E22666" w:rsidP="007F5C15">
            <w:pPr>
              <w:rPr>
                <w:rFonts w:ascii="DeutscheBank" w:hAnsi="DeutscheBank" w:cs="Times New Roman"/>
                <w:b/>
                <w:bCs/>
              </w:rPr>
            </w:pPr>
            <w:r w:rsidRPr="007C3248">
              <w:rPr>
                <w:rFonts w:ascii="DeutscheBank" w:hAnsi="DeutscheBank" w:cs="Times New Roman"/>
                <w:b/>
                <w:bCs/>
              </w:rPr>
              <w:t>Contingent Variation Margin</w:t>
            </w:r>
          </w:p>
        </w:tc>
        <w:tc>
          <w:tcPr>
            <w:tcW w:w="1670" w:type="dxa"/>
            <w:shd w:val="clear" w:color="auto" w:fill="auto"/>
            <w:vAlign w:val="center"/>
          </w:tcPr>
          <w:p w14:paraId="072D75D7"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x*</w:t>
            </w:r>
          </w:p>
        </w:tc>
        <w:tc>
          <w:tcPr>
            <w:tcW w:w="2371" w:type="dxa"/>
            <w:shd w:val="clear" w:color="auto" w:fill="auto"/>
            <w:vAlign w:val="center"/>
          </w:tcPr>
          <w:p w14:paraId="760E7831"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n/a</w:t>
            </w:r>
          </w:p>
        </w:tc>
        <w:tc>
          <w:tcPr>
            <w:tcW w:w="3197" w:type="dxa"/>
            <w:shd w:val="clear" w:color="auto" w:fill="auto"/>
            <w:vAlign w:val="center"/>
          </w:tcPr>
          <w:p w14:paraId="2425EDC2"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n/a</w:t>
            </w:r>
          </w:p>
        </w:tc>
      </w:tr>
      <w:tr w:rsidR="00E22666" w:rsidRPr="007C3248" w14:paraId="5F05069D" w14:textId="77777777" w:rsidTr="007F5C15">
        <w:trPr>
          <w:trHeight w:val="544"/>
        </w:trPr>
        <w:tc>
          <w:tcPr>
            <w:tcW w:w="1688" w:type="dxa"/>
            <w:shd w:val="clear" w:color="auto" w:fill="auto"/>
            <w:vAlign w:val="center"/>
          </w:tcPr>
          <w:p w14:paraId="635031CF" w14:textId="77777777" w:rsidR="00E22666" w:rsidRPr="007C3248" w:rsidRDefault="00E22666" w:rsidP="007F5C15">
            <w:pPr>
              <w:rPr>
                <w:rFonts w:ascii="DeutscheBank" w:hAnsi="DeutscheBank" w:cs="Times New Roman"/>
              </w:rPr>
            </w:pPr>
            <w:r w:rsidRPr="007C3248">
              <w:rPr>
                <w:rFonts w:ascii="DeutscheBank" w:hAnsi="DeutscheBank" w:cs="Times New Roman"/>
                <w:b/>
                <w:bCs/>
              </w:rPr>
              <w:t>Emergency Powers</w:t>
            </w:r>
          </w:p>
        </w:tc>
        <w:tc>
          <w:tcPr>
            <w:tcW w:w="1670" w:type="dxa"/>
            <w:shd w:val="clear" w:color="auto" w:fill="auto"/>
            <w:vAlign w:val="center"/>
          </w:tcPr>
          <w:p w14:paraId="1693B76E"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x*</w:t>
            </w:r>
          </w:p>
        </w:tc>
        <w:tc>
          <w:tcPr>
            <w:tcW w:w="2371" w:type="dxa"/>
            <w:shd w:val="clear" w:color="auto" w:fill="auto"/>
            <w:vAlign w:val="center"/>
          </w:tcPr>
          <w:p w14:paraId="3BF0B9A6"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n/a</w:t>
            </w:r>
          </w:p>
        </w:tc>
        <w:tc>
          <w:tcPr>
            <w:tcW w:w="3197" w:type="dxa"/>
            <w:shd w:val="clear" w:color="auto" w:fill="auto"/>
            <w:vAlign w:val="center"/>
          </w:tcPr>
          <w:p w14:paraId="1D0EE21C"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n/a</w:t>
            </w:r>
          </w:p>
        </w:tc>
      </w:tr>
      <w:tr w:rsidR="00E22666" w:rsidRPr="007C3248" w14:paraId="36B4D7FC" w14:textId="77777777" w:rsidTr="007F5C15">
        <w:trPr>
          <w:trHeight w:val="621"/>
        </w:trPr>
        <w:tc>
          <w:tcPr>
            <w:tcW w:w="1688" w:type="dxa"/>
            <w:shd w:val="clear" w:color="auto" w:fill="auto"/>
            <w:vAlign w:val="center"/>
          </w:tcPr>
          <w:p w14:paraId="5EDBA8F3" w14:textId="77777777" w:rsidR="00E22666" w:rsidRPr="007C3248" w:rsidRDefault="00E22666" w:rsidP="007F5C15">
            <w:pPr>
              <w:rPr>
                <w:rFonts w:ascii="DeutscheBank" w:hAnsi="DeutscheBank" w:cs="Times New Roman"/>
                <w:b/>
                <w:bCs/>
              </w:rPr>
            </w:pPr>
            <w:r w:rsidRPr="007C3248">
              <w:rPr>
                <w:rFonts w:ascii="DeutscheBank" w:hAnsi="DeutscheBank" w:cs="Times New Roman"/>
                <w:b/>
                <w:bCs/>
              </w:rPr>
              <w:t>Service Closure</w:t>
            </w:r>
          </w:p>
        </w:tc>
        <w:tc>
          <w:tcPr>
            <w:tcW w:w="1670" w:type="dxa"/>
            <w:shd w:val="clear" w:color="auto" w:fill="auto"/>
            <w:vAlign w:val="center"/>
          </w:tcPr>
          <w:p w14:paraId="2BED4C0B"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x*</w:t>
            </w:r>
          </w:p>
        </w:tc>
        <w:tc>
          <w:tcPr>
            <w:tcW w:w="2371" w:type="dxa"/>
            <w:shd w:val="clear" w:color="auto" w:fill="auto"/>
            <w:vAlign w:val="center"/>
          </w:tcPr>
          <w:p w14:paraId="498B0CB3"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n/a</w:t>
            </w:r>
          </w:p>
        </w:tc>
        <w:tc>
          <w:tcPr>
            <w:tcW w:w="3197" w:type="dxa"/>
            <w:shd w:val="clear" w:color="auto" w:fill="auto"/>
            <w:vAlign w:val="center"/>
          </w:tcPr>
          <w:p w14:paraId="76730C89" w14:textId="77777777" w:rsidR="00E22666" w:rsidRPr="007C3248" w:rsidRDefault="00E22666" w:rsidP="007F5C15">
            <w:pPr>
              <w:jc w:val="center"/>
              <w:rPr>
                <w:rFonts w:ascii="DeutscheBank" w:hAnsi="DeutscheBank" w:cs="Times New Roman"/>
              </w:rPr>
            </w:pPr>
            <w:r w:rsidRPr="007C3248">
              <w:rPr>
                <w:rFonts w:ascii="DeutscheBank" w:hAnsi="DeutscheBank" w:cs="Times New Roman"/>
              </w:rPr>
              <w:t>n/a</w:t>
            </w:r>
          </w:p>
        </w:tc>
      </w:tr>
    </w:tbl>
    <w:p w14:paraId="52CEADE5" w14:textId="77777777" w:rsidR="00E22666" w:rsidRPr="007C3248" w:rsidRDefault="00E22666" w:rsidP="00E22666">
      <w:pPr>
        <w:pStyle w:val="Body1"/>
        <w:ind w:left="0"/>
        <w:rPr>
          <w:rFonts w:ascii="DeutscheBank" w:hAnsi="DeutscheBank"/>
          <w:b/>
          <w:bCs/>
          <w:sz w:val="24"/>
          <w:szCs w:val="24"/>
        </w:rPr>
      </w:pPr>
    </w:p>
    <w:p w14:paraId="22CCFEF0" w14:textId="77777777" w:rsidR="00BC43BC" w:rsidRPr="007C3248" w:rsidRDefault="00BC43BC" w:rsidP="00C441BC">
      <w:pPr>
        <w:spacing w:after="0" w:line="240" w:lineRule="auto"/>
        <w:jc w:val="left"/>
        <w:rPr>
          <w:rFonts w:ascii="DeutscheBank" w:hAnsi="DeutscheBank"/>
        </w:rPr>
      </w:pPr>
    </w:p>
    <w:sectPr w:rsidR="00BC43BC" w:rsidRPr="007C3248" w:rsidSect="0097084A">
      <w:headerReference w:type="default" r:id="rId13"/>
      <w:footerReference w:type="default" r:id="rId14"/>
      <w:headerReference w:type="first" r:id="rId15"/>
      <w:footerReference w:type="first" r:id="rId16"/>
      <w:pgSz w:w="11906" w:h="16838" w:code="9"/>
      <w:pgMar w:top="1560" w:right="1440" w:bottom="1440" w:left="1440" w:header="794" w:footer="340" w:gutter="0"/>
      <w:pgNumType w:start="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QAGEAcgBhAGcAcgBhAHAAaAAgAEwAMQA=" wne:acdName="acd0" wne:fciIndexBasedOn="0065"/>
    <wne:acd wne:argValue="AgBQAGEAcgBhAGcAcgBhAHAAaAAgAEwAMgA=" wne:acdName="acd1" wne:fciIndexBasedOn="0065"/>
    <wne:acd wne:argValue="AgBQAGEAcgBhAGcAcgBhAHAAaAAgAEwAMwA=" wne:acdName="acd2" wne:fciIndexBasedOn="0065"/>
    <wne:acd wne:argValue="AgBQAGEAcgBhAGcAcgBhAHAAaAAgAEwANAA=" wne:acdName="acd3" wne:fciIndexBasedOn="0065"/>
    <wne:acd wne:argValue="AgBQAGEAcgBhAGcAcgBhAHAAaAAgAEwANQA=" wne:acdName="acd4" wne:fciIndexBasedOn="0065"/>
    <wne:acd wne:argValue="AgBQAGEAcgBhAGcAcgBhAHAAaAAgAEwANgA=" wne:acdName="acd5" wne:fciIndexBasedOn="0065"/>
    <wne:acd wne:argValue="AgBQAGEAcgBhAGcAcgBhAHAAaAAgAEwANwA=" wne:acdName="acd6" wne:fciIndexBasedOn="0065"/>
    <wne:acd wne:argValue="AgBQAGEAcgBhAGcAcgBhAHAAaAAgAEwAOAA=" wne:acdName="acd7" wne:fciIndexBasedOn="0065"/>
    <wne:acd wne:argValue="AgBQAGEAcgBhAGcAcgBhAHAAaAAgAEw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F26B" w14:textId="77777777" w:rsidR="008C0B63" w:rsidRDefault="008C0B63" w:rsidP="00D624DF">
      <w:pPr>
        <w:spacing w:after="0" w:line="240" w:lineRule="auto"/>
      </w:pPr>
      <w:r>
        <w:separator/>
      </w:r>
    </w:p>
  </w:endnote>
  <w:endnote w:type="continuationSeparator" w:id="0">
    <w:p w14:paraId="225C37EE" w14:textId="77777777" w:rsidR="008C0B63" w:rsidRDefault="008C0B63" w:rsidP="00D6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utscheBank">
    <w:panose1 w:val="020B0503020202030204"/>
    <w:charset w:val="00"/>
    <w:family w:val="swiss"/>
    <w:pitch w:val="variable"/>
    <w:sig w:usb0="A00002EF" w:usb1="4000003B" w:usb2="00000020" w:usb3="00000000" w:csb0="0000009F" w:csb1="00000000"/>
  </w:font>
  <w:font w:name="Deutsche Bank Text">
    <w:panose1 w:val="020B0503020202030204"/>
    <w:charset w:val="00"/>
    <w:family w:val="swiss"/>
    <w:pitch w:val="variable"/>
    <w:sig w:usb0="A000006F" w:usb1="0000006B" w:usb2="00000028"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EDF0" w14:textId="77777777" w:rsidR="00C5157A" w:rsidRDefault="00C5157A" w:rsidP="00C5157A">
    <w:pPr>
      <w:pStyle w:val="Footer"/>
      <w:jc w:val="center"/>
    </w:pPr>
  </w:p>
  <w:p w14:paraId="56510EFA" w14:textId="7EB8708C" w:rsidR="00C5157A" w:rsidRDefault="00C5157A" w:rsidP="00C5157A">
    <w:pPr>
      <w:pStyle w:val="Footer"/>
      <w:jc w:val="center"/>
    </w:pPr>
  </w:p>
  <w:p w14:paraId="04C2A200" w14:textId="39CD8649" w:rsidR="00C5157A" w:rsidRDefault="00C5157A" w:rsidP="00C5157A">
    <w:pPr>
      <w:pStyle w:val="Footer"/>
      <w:jc w:val="center"/>
    </w:pPr>
  </w:p>
  <w:p w14:paraId="1CA55F69" w14:textId="66D4CAA4" w:rsidR="00C5157A" w:rsidRPr="00C5157A" w:rsidRDefault="00C5157A" w:rsidP="00C5157A">
    <w:pPr>
      <w:pStyle w:val="Footer"/>
      <w:jc w:val="center"/>
      <w:rPr>
        <w:noProof/>
        <w:sz w:val="18"/>
        <w:szCs w:val="18"/>
      </w:rPr>
    </w:pPr>
    <w:r w:rsidRPr="00C5157A">
      <w:rPr>
        <w:sz w:val="18"/>
        <w:szCs w:val="18"/>
      </w:rPr>
      <w:fldChar w:fldCharType="begin"/>
    </w:r>
    <w:r w:rsidRPr="00C5157A">
      <w:rPr>
        <w:sz w:val="18"/>
        <w:szCs w:val="18"/>
      </w:rPr>
      <w:instrText xml:space="preserve"> PAGE</w:instrText>
    </w:r>
    <w:r w:rsidR="00934742">
      <w:rPr>
        <w:sz w:val="18"/>
        <w:szCs w:val="18"/>
      </w:rPr>
      <w:instrText xml:space="preserve"> </w:instrText>
    </w:r>
    <w:r w:rsidRPr="00C5157A">
      <w:rPr>
        <w:sz w:val="18"/>
        <w:szCs w:val="18"/>
      </w:rPr>
      <w:instrText xml:space="preserve">\* MERGEFORMAT </w:instrText>
    </w:r>
    <w:r w:rsidRPr="00C5157A">
      <w:rPr>
        <w:sz w:val="18"/>
        <w:szCs w:val="18"/>
      </w:rPr>
      <w:fldChar w:fldCharType="separate"/>
    </w:r>
    <w:r w:rsidRPr="00C5157A">
      <w:rPr>
        <w:noProof/>
        <w:sz w:val="18"/>
        <w:szCs w:val="18"/>
      </w:rPr>
      <w:t>1</w:t>
    </w:r>
    <w:r w:rsidRPr="00C5157A">
      <w:rPr>
        <w:noProof/>
        <w:sz w:val="18"/>
        <w:szCs w:val="18"/>
      </w:rPr>
      <w:fldChar w:fldCharType="end"/>
    </w:r>
  </w:p>
  <w:p w14:paraId="603EA3FE" w14:textId="77777777" w:rsidR="00C5157A" w:rsidRDefault="00C5157A" w:rsidP="00C5157A">
    <w:pPr>
      <w:pStyle w:val="Footer"/>
      <w:jc w:val="center"/>
      <w:rPr>
        <w:noProof/>
      </w:rPr>
    </w:pPr>
  </w:p>
  <w:p w14:paraId="29041BD4" w14:textId="77777777" w:rsidR="00C5157A" w:rsidRDefault="00C5157A" w:rsidP="00C5157A">
    <w:pPr>
      <w:pStyle w:val="Footer"/>
      <w:jc w:val="center"/>
    </w:pPr>
  </w:p>
  <w:p w14:paraId="0CD1D0B5" w14:textId="5CBBA728" w:rsidR="00DE0531" w:rsidRDefault="00DE0531" w:rsidP="00E05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594C" w14:textId="24849CC7" w:rsidR="00E21EFE" w:rsidRDefault="00E21EFE" w:rsidP="00C515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8A53" w14:textId="77777777" w:rsidR="008C0B63" w:rsidRDefault="008C0B63" w:rsidP="00D624DF">
      <w:pPr>
        <w:spacing w:after="0" w:line="240" w:lineRule="auto"/>
      </w:pPr>
      <w:r>
        <w:separator/>
      </w:r>
    </w:p>
  </w:footnote>
  <w:footnote w:type="continuationSeparator" w:id="0">
    <w:p w14:paraId="0FE58D0C" w14:textId="77777777" w:rsidR="008C0B63" w:rsidRDefault="008C0B63" w:rsidP="00D624DF">
      <w:pPr>
        <w:spacing w:after="0" w:line="240" w:lineRule="auto"/>
      </w:pPr>
      <w:r>
        <w:continuationSeparator/>
      </w:r>
    </w:p>
  </w:footnote>
  <w:footnote w:id="1">
    <w:p w14:paraId="28A8BB16" w14:textId="0D2F6F20" w:rsidR="003E33F2" w:rsidRPr="007C3248" w:rsidRDefault="003E33F2" w:rsidP="00E723FB">
      <w:pPr>
        <w:pStyle w:val="FootnoteText"/>
        <w:ind w:left="284" w:hanging="284"/>
        <w:rPr>
          <w:rFonts w:ascii="DeutscheBank" w:hAnsi="DeutscheBank"/>
        </w:rPr>
      </w:pPr>
      <w:r w:rsidRPr="007C3248">
        <w:rPr>
          <w:rStyle w:val="FootnoteReference"/>
          <w:rFonts w:ascii="DeutscheBank" w:hAnsi="DeutscheBank"/>
        </w:rPr>
        <w:footnoteRef/>
      </w:r>
      <w:r w:rsidRPr="007C3248">
        <w:rPr>
          <w:rFonts w:ascii="DeutscheBank" w:hAnsi="DeutscheBank"/>
        </w:rPr>
        <w:t xml:space="preserve"> </w:t>
      </w:r>
      <w:r w:rsidR="00E723FB" w:rsidRPr="007C3248">
        <w:rPr>
          <w:rFonts w:ascii="DeutscheBank" w:hAnsi="DeutscheBank"/>
        </w:rPr>
        <w:tab/>
      </w:r>
      <w:r w:rsidRPr="007C3248">
        <w:rPr>
          <w:rFonts w:ascii="DeutscheBank" w:hAnsi="DeutscheBank"/>
        </w:rPr>
        <w:t xml:space="preserve">Please refer to Part One A of </w:t>
      </w:r>
      <w:r w:rsidR="00977214" w:rsidRPr="007C3248">
        <w:rPr>
          <w:rFonts w:ascii="DeutscheBank" w:hAnsi="DeutscheBank"/>
        </w:rPr>
        <w:t>our</w:t>
      </w:r>
      <w:r w:rsidR="00934742">
        <w:rPr>
          <w:rFonts w:ascii="DeutscheBank" w:hAnsi="DeutscheBank"/>
        </w:rPr>
        <w:t xml:space="preserve"> </w:t>
      </w:r>
      <w:r w:rsidRPr="007C3248">
        <w:rPr>
          <w:rFonts w:ascii="DeutscheBank" w:hAnsi="DeutscheBank"/>
        </w:rPr>
        <w:t xml:space="preserve">Clearing Member Disclosure Document </w:t>
      </w:r>
      <w:r w:rsidR="00977214" w:rsidRPr="007C3248">
        <w:rPr>
          <w:rFonts w:ascii="DeutscheBank" w:hAnsi="DeutscheBank"/>
        </w:rPr>
        <w:t xml:space="preserve">(available </w:t>
      </w:r>
      <w:hyperlink r:id="rId1" w:history="1">
        <w:r w:rsidR="00977214" w:rsidRPr="007C3248">
          <w:rPr>
            <w:rStyle w:val="Hyperlink"/>
            <w:rFonts w:ascii="DeutscheBank" w:hAnsi="DeutscheBank"/>
          </w:rPr>
          <w:t>here</w:t>
        </w:r>
      </w:hyperlink>
      <w:r w:rsidR="00977214" w:rsidRPr="007C3248">
        <w:rPr>
          <w:rStyle w:val="Hyperlink"/>
          <w:rFonts w:ascii="DeutscheBank" w:hAnsi="DeutscheBank"/>
        </w:rPr>
        <w:t xml:space="preserve">) </w:t>
      </w:r>
      <w:r w:rsidRPr="007C3248">
        <w:rPr>
          <w:rFonts w:ascii="DeutscheBank" w:hAnsi="DeutscheBank"/>
        </w:rPr>
        <w:t xml:space="preserve">for a more detailed description of a CCP's default management procedures. </w:t>
      </w:r>
      <w:r w:rsidR="00BA799E" w:rsidRPr="007C3248">
        <w:rPr>
          <w:rFonts w:ascii="DeutscheBank" w:hAnsi="DeutscheBank"/>
        </w:rPr>
        <w:tab/>
      </w:r>
    </w:p>
  </w:footnote>
  <w:footnote w:id="2">
    <w:p w14:paraId="5DF211BE" w14:textId="77777777" w:rsidR="00E22666" w:rsidRPr="007C3248" w:rsidRDefault="00E22666" w:rsidP="00E22666">
      <w:pPr>
        <w:pStyle w:val="FootnoteText"/>
        <w:rPr>
          <w:rFonts w:ascii="DeutscheBank" w:hAnsi="DeutscheBank" w:cs="Times New Roman"/>
        </w:rPr>
      </w:pPr>
      <w:r w:rsidRPr="007C3248">
        <w:rPr>
          <w:rStyle w:val="FootnoteReference"/>
          <w:rFonts w:ascii="DeutscheBank" w:hAnsi="DeutscheBank" w:cs="Times New Roman"/>
        </w:rPr>
        <w:footnoteRef/>
      </w:r>
      <w:r w:rsidRPr="007C3248">
        <w:rPr>
          <w:rFonts w:ascii="DeutscheBank" w:hAnsi="DeutscheBank" w:cs="Times New Roman"/>
        </w:rPr>
        <w:tab/>
        <w:t>KDPW has also published Rules of clearing and settlement of EUA/EUAA sale transactions. As this document does not include recovery and default tools of the type described in this Annex it has not been included in the table.</w:t>
      </w:r>
    </w:p>
  </w:footnote>
  <w:footnote w:id="3">
    <w:p w14:paraId="44215126" w14:textId="77777777" w:rsidR="00E22666" w:rsidRPr="007C3248" w:rsidRDefault="00E22666" w:rsidP="00E22666">
      <w:pPr>
        <w:pStyle w:val="FootnoteText"/>
        <w:rPr>
          <w:rFonts w:ascii="DeutscheBank" w:hAnsi="DeutscheBank" w:cs="Times New Roman"/>
        </w:rPr>
      </w:pPr>
      <w:r w:rsidRPr="007C3248">
        <w:rPr>
          <w:rStyle w:val="FootnoteReference"/>
          <w:rFonts w:ascii="DeutscheBank" w:hAnsi="DeutscheBank" w:cs="Times New Roman"/>
        </w:rPr>
        <w:footnoteRef/>
      </w:r>
      <w:r w:rsidRPr="007C3248">
        <w:rPr>
          <w:rFonts w:ascii="DeutscheBank" w:hAnsi="DeutscheBank" w:cs="Times New Roman"/>
        </w:rPr>
        <w:tab/>
        <w:t>The Non-Organised Trading Rulebook specifies two limits on the amount of assessment that may be called. One is set at 100% of the existing maximum contributions of a clearing member and one at 50%. It is unclear from the Non-Organised Trading Rulebook which applies, so the prudent approach would be to assume it is 100% in line with the Organised Trading Rulebook.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A48C" w14:textId="11B4AD33" w:rsidR="0097084A" w:rsidRDefault="0097084A">
    <w:pPr>
      <w:pStyle w:val="Header"/>
    </w:pPr>
    <w:r>
      <w:rPr>
        <w:noProof/>
      </w:rPr>
      <w:drawing>
        <wp:anchor distT="0" distB="0" distL="0" distR="0" simplePos="0" relativeHeight="251663360" behindDoc="1" locked="0" layoutInCell="1" allowOverlap="1" wp14:anchorId="5B652982" wp14:editId="1373B2B2">
          <wp:simplePos x="0" y="0"/>
          <wp:positionH relativeFrom="page">
            <wp:posOffset>6543675</wp:posOffset>
          </wp:positionH>
          <wp:positionV relativeFrom="page">
            <wp:posOffset>398780</wp:posOffset>
          </wp:positionV>
          <wp:extent cx="548640" cy="548640"/>
          <wp:effectExtent l="0" t="0" r="3810" b="3810"/>
          <wp:wrapNone/>
          <wp:docPr id="2" name="Picture 2" descr="Deutsche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utsche Bank logo"/>
                  <pic:cNvPicPr/>
                </pic:nvPicPr>
                <pic:blipFill>
                  <a:blip r:embed="rId1" cstate="print"/>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8C83" w14:textId="6557532A" w:rsidR="00E21EFE" w:rsidRPr="00CF37EA" w:rsidRDefault="0097084A" w:rsidP="001165CF">
    <w:pPr>
      <w:pStyle w:val="Header"/>
      <w:jc w:val="right"/>
      <w:rPr>
        <w:sz w:val="6"/>
        <w:szCs w:val="6"/>
      </w:rPr>
    </w:pPr>
    <w:r>
      <w:rPr>
        <w:noProof/>
      </w:rPr>
      <w:drawing>
        <wp:anchor distT="0" distB="0" distL="0" distR="0" simplePos="0" relativeHeight="251662336" behindDoc="1" locked="0" layoutInCell="1" allowOverlap="1" wp14:anchorId="621E620D" wp14:editId="1143F491">
          <wp:simplePos x="0" y="0"/>
          <wp:positionH relativeFrom="page">
            <wp:posOffset>6648450</wp:posOffset>
          </wp:positionH>
          <wp:positionV relativeFrom="page">
            <wp:posOffset>398780</wp:posOffset>
          </wp:positionV>
          <wp:extent cx="552449" cy="552449"/>
          <wp:effectExtent l="0" t="0" r="0" b="0"/>
          <wp:wrapNone/>
          <wp:docPr id="1" name="image1.png" descr="Deutsche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eutsche Bank logo"/>
                  <pic:cNvPicPr/>
                </pic:nvPicPr>
                <pic:blipFill>
                  <a:blip r:embed="rId1" cstate="print"/>
                  <a:stretch>
                    <a:fillRect/>
                  </a:stretch>
                </pic:blipFill>
                <pic:spPr>
                  <a:xfrm>
                    <a:off x="0" y="0"/>
                    <a:ext cx="552449" cy="5524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CB2"/>
    <w:multiLevelType w:val="hybridMultilevel"/>
    <w:tmpl w:val="893677B8"/>
    <w:lvl w:ilvl="0" w:tplc="8E745F2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rPr>
    </w:lvl>
    <w:lvl w:ilvl="1">
      <w:start w:val="1"/>
      <w:numFmt w:val="lowerRoman"/>
      <w:pStyle w:val="roman2"/>
      <w:lvlText w:val="(%2)"/>
      <w:lvlJc w:val="left"/>
      <w:pPr>
        <w:tabs>
          <w:tab w:val="num" w:pos="1360"/>
        </w:tabs>
        <w:ind w:left="1360" w:hanging="680"/>
      </w:pPr>
    </w:lvl>
    <w:lvl w:ilvl="2">
      <w:start w:val="1"/>
      <w:numFmt w:val="lowerRoman"/>
      <w:pStyle w:val="roman3"/>
      <w:lvlText w:val="(%3)"/>
      <w:lvlJc w:val="left"/>
      <w:pPr>
        <w:tabs>
          <w:tab w:val="num" w:pos="2040"/>
        </w:tabs>
        <w:ind w:left="2040" w:hanging="680"/>
      </w:pPr>
    </w:lvl>
    <w:lvl w:ilvl="3">
      <w:start w:val="1"/>
      <w:numFmt w:val="lowerRoman"/>
      <w:pStyle w:val="roman4"/>
      <w:lvlText w:val="(%4)"/>
      <w:lvlJc w:val="left"/>
      <w:pPr>
        <w:tabs>
          <w:tab w:val="num" w:pos="2722"/>
        </w:tabs>
        <w:ind w:left="2722" w:hanging="682"/>
      </w:pPr>
    </w:lvl>
    <w:lvl w:ilvl="4">
      <w:start w:val="1"/>
      <w:numFmt w:val="lowerRoman"/>
      <w:pStyle w:val="roman5"/>
      <w:lvlText w:val="(%5)"/>
      <w:lvlJc w:val="left"/>
      <w:pPr>
        <w:tabs>
          <w:tab w:val="num" w:pos="3402"/>
        </w:tabs>
        <w:ind w:left="3402" w:hanging="680"/>
      </w:pPr>
    </w:lvl>
    <w:lvl w:ilvl="5">
      <w:start w:val="1"/>
      <w:numFmt w:val="lowerRoman"/>
      <w:pStyle w:val="roman6"/>
      <w:lvlText w:val="(%6)"/>
      <w:lvlJc w:val="left"/>
      <w:pPr>
        <w:tabs>
          <w:tab w:val="num" w:pos="4082"/>
        </w:tabs>
        <w:ind w:left="4082" w:hanging="680"/>
      </w:pPr>
    </w:lvl>
    <w:lvl w:ilvl="6">
      <w:start w:val="1"/>
      <w:numFmt w:val="none"/>
      <w:lvlRestart w:val="0"/>
      <w:lvlText w:val=""/>
      <w:lvlJc w:val="left"/>
      <w:pPr>
        <w:ind w:left="4082" w:hanging="680"/>
      </w:pPr>
    </w:lvl>
    <w:lvl w:ilvl="7">
      <w:start w:val="1"/>
      <w:numFmt w:val="none"/>
      <w:lvlRestart w:val="0"/>
      <w:lvlText w:val=""/>
      <w:lvlJc w:val="left"/>
      <w:pPr>
        <w:ind w:left="4082" w:hanging="680"/>
      </w:pPr>
    </w:lvl>
    <w:lvl w:ilvl="8">
      <w:start w:val="1"/>
      <w:numFmt w:val="none"/>
      <w:lvlRestart w:val="0"/>
      <w:lvlText w:val=""/>
      <w:lvlJc w:val="left"/>
      <w:pPr>
        <w:ind w:left="4082" w:hanging="680"/>
      </w:pPr>
    </w:lvl>
  </w:abstractNum>
  <w:abstractNum w:abstractNumId="2" w15:restartNumberingAfterBreak="0">
    <w:nsid w:val="143573E8"/>
    <w:multiLevelType w:val="hybridMultilevel"/>
    <w:tmpl w:val="9C283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9A0FE7"/>
    <w:multiLevelType w:val="hybridMultilevel"/>
    <w:tmpl w:val="2BF0DD5E"/>
    <w:lvl w:ilvl="0" w:tplc="F348BF66">
      <w:start w:val="5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6AC44F1"/>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395D6D55"/>
    <w:multiLevelType w:val="hybridMultilevel"/>
    <w:tmpl w:val="2FF2CB70"/>
    <w:lvl w:ilvl="0" w:tplc="44585AD4">
      <w:start w:val="1"/>
      <w:numFmt w:val="lowerRoman"/>
      <w:lvlText w:val="(%1)"/>
      <w:lvlJc w:val="left"/>
      <w:pPr>
        <w:ind w:left="782" w:hanging="360"/>
      </w:pPr>
      <w:rPr>
        <w:rFonts w:hint="default"/>
      </w:r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6" w15:restartNumberingAfterBreak="0">
    <w:nsid w:val="3C5A0EBA"/>
    <w:multiLevelType w:val="multilevel"/>
    <w:tmpl w:val="BED0DE98"/>
    <w:name w:val="Paragraph"/>
    <w:lvl w:ilvl="0">
      <w:start w:val="1"/>
      <w:numFmt w:val="decimal"/>
      <w:lvlRestart w:val="0"/>
      <w:pStyle w:val="Paragraph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Paragraph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Paragraph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Paragraph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Paragraph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Paragraph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Paragraph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Paragraph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Paragraph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52F12F0D"/>
    <w:multiLevelType w:val="hybridMultilevel"/>
    <w:tmpl w:val="9D706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4641AAC"/>
    <w:multiLevelType w:val="hybridMultilevel"/>
    <w:tmpl w:val="A9AE1D26"/>
    <w:lvl w:ilvl="0" w:tplc="62F6E6F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FC0F03"/>
    <w:multiLevelType w:val="hybridMultilevel"/>
    <w:tmpl w:val="1E02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9B118C"/>
    <w:multiLevelType w:val="hybridMultilevel"/>
    <w:tmpl w:val="C328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77977">
    <w:abstractNumId w:val="6"/>
  </w:num>
  <w:num w:numId="2" w16cid:durableId="728987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3961581">
    <w:abstractNumId w:val="6"/>
  </w:num>
  <w:num w:numId="4" w16cid:durableId="26295604">
    <w:abstractNumId w:val="6"/>
  </w:num>
  <w:num w:numId="5" w16cid:durableId="615645613">
    <w:abstractNumId w:val="6"/>
  </w:num>
  <w:num w:numId="6" w16cid:durableId="444080661">
    <w:abstractNumId w:val="6"/>
  </w:num>
  <w:num w:numId="7" w16cid:durableId="1970815712">
    <w:abstractNumId w:val="7"/>
  </w:num>
  <w:num w:numId="8" w16cid:durableId="1229732798">
    <w:abstractNumId w:val="2"/>
  </w:num>
  <w:num w:numId="9" w16cid:durableId="762804784">
    <w:abstractNumId w:val="2"/>
  </w:num>
  <w:num w:numId="10" w16cid:durableId="468598215">
    <w:abstractNumId w:val="9"/>
  </w:num>
  <w:num w:numId="11" w16cid:durableId="1641112597">
    <w:abstractNumId w:val="6"/>
  </w:num>
  <w:num w:numId="12" w16cid:durableId="1527282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9211865">
    <w:abstractNumId w:val="6"/>
  </w:num>
  <w:num w:numId="14" w16cid:durableId="1136333755">
    <w:abstractNumId w:val="6"/>
  </w:num>
  <w:num w:numId="15" w16cid:durableId="1588074512">
    <w:abstractNumId w:val="6"/>
  </w:num>
  <w:num w:numId="16" w16cid:durableId="4369521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7393588">
    <w:abstractNumId w:val="6"/>
  </w:num>
  <w:num w:numId="18" w16cid:durableId="1177306821">
    <w:abstractNumId w:val="6"/>
  </w:num>
  <w:num w:numId="19" w16cid:durableId="1997224148">
    <w:abstractNumId w:val="6"/>
  </w:num>
  <w:num w:numId="20" w16cid:durableId="14825804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8921682">
    <w:abstractNumId w:val="6"/>
  </w:num>
  <w:num w:numId="22" w16cid:durableId="1780559682">
    <w:abstractNumId w:val="6"/>
  </w:num>
  <w:num w:numId="23" w16cid:durableId="833574592">
    <w:abstractNumId w:val="6"/>
  </w:num>
  <w:num w:numId="24" w16cid:durableId="492992453">
    <w:abstractNumId w:val="10"/>
  </w:num>
  <w:num w:numId="25" w16cid:durableId="282149518">
    <w:abstractNumId w:val="0"/>
  </w:num>
  <w:num w:numId="26" w16cid:durableId="981349340">
    <w:abstractNumId w:val="8"/>
  </w:num>
  <w:num w:numId="27" w16cid:durableId="1502548656">
    <w:abstractNumId w:val="6"/>
  </w:num>
  <w:num w:numId="28" w16cid:durableId="919826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5010987">
    <w:abstractNumId w:val="6"/>
  </w:num>
  <w:num w:numId="30" w16cid:durableId="1087655713">
    <w:abstractNumId w:val="6"/>
  </w:num>
  <w:num w:numId="31" w16cid:durableId="43647713">
    <w:abstractNumId w:val="6"/>
  </w:num>
  <w:num w:numId="32" w16cid:durableId="1862162887">
    <w:abstractNumId w:val="3"/>
  </w:num>
  <w:num w:numId="33" w16cid:durableId="769471571">
    <w:abstractNumId w:val="3"/>
  </w:num>
  <w:num w:numId="34" w16cid:durableId="574706160">
    <w:abstractNumId w:val="1"/>
  </w:num>
  <w:num w:numId="35" w16cid:durableId="1693455199">
    <w:abstractNumId w:val="4"/>
  </w:num>
  <w:num w:numId="36" w16cid:durableId="201831376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B0"/>
    <w:rsid w:val="00000412"/>
    <w:rsid w:val="00000F63"/>
    <w:rsid w:val="0000328B"/>
    <w:rsid w:val="000038CC"/>
    <w:rsid w:val="00004219"/>
    <w:rsid w:val="00005606"/>
    <w:rsid w:val="00006442"/>
    <w:rsid w:val="00006928"/>
    <w:rsid w:val="00006DF2"/>
    <w:rsid w:val="00007BA4"/>
    <w:rsid w:val="00010281"/>
    <w:rsid w:val="00010B5A"/>
    <w:rsid w:val="00011697"/>
    <w:rsid w:val="00012C22"/>
    <w:rsid w:val="0001309F"/>
    <w:rsid w:val="00013387"/>
    <w:rsid w:val="000144C6"/>
    <w:rsid w:val="00014973"/>
    <w:rsid w:val="00015205"/>
    <w:rsid w:val="00015288"/>
    <w:rsid w:val="000155E7"/>
    <w:rsid w:val="00015DA5"/>
    <w:rsid w:val="00017DAE"/>
    <w:rsid w:val="00020490"/>
    <w:rsid w:val="00020E46"/>
    <w:rsid w:val="00021F3F"/>
    <w:rsid w:val="000221A5"/>
    <w:rsid w:val="000224BC"/>
    <w:rsid w:val="000224F6"/>
    <w:rsid w:val="000229E7"/>
    <w:rsid w:val="00023868"/>
    <w:rsid w:val="000244AD"/>
    <w:rsid w:val="00024F96"/>
    <w:rsid w:val="0002600E"/>
    <w:rsid w:val="0002748C"/>
    <w:rsid w:val="000276A8"/>
    <w:rsid w:val="000278CA"/>
    <w:rsid w:val="00027C3B"/>
    <w:rsid w:val="00027DF4"/>
    <w:rsid w:val="000302CF"/>
    <w:rsid w:val="00030442"/>
    <w:rsid w:val="00031780"/>
    <w:rsid w:val="00032D42"/>
    <w:rsid w:val="000331D5"/>
    <w:rsid w:val="000331D6"/>
    <w:rsid w:val="000334EC"/>
    <w:rsid w:val="00033BFC"/>
    <w:rsid w:val="000348A2"/>
    <w:rsid w:val="0003667D"/>
    <w:rsid w:val="00037B72"/>
    <w:rsid w:val="00037F38"/>
    <w:rsid w:val="00040274"/>
    <w:rsid w:val="00041232"/>
    <w:rsid w:val="000413AB"/>
    <w:rsid w:val="000416DC"/>
    <w:rsid w:val="00041701"/>
    <w:rsid w:val="000419E4"/>
    <w:rsid w:val="00041BE3"/>
    <w:rsid w:val="00041DE5"/>
    <w:rsid w:val="00041F5A"/>
    <w:rsid w:val="00042FFD"/>
    <w:rsid w:val="000433F9"/>
    <w:rsid w:val="000436E7"/>
    <w:rsid w:val="00043F00"/>
    <w:rsid w:val="00045209"/>
    <w:rsid w:val="0004793F"/>
    <w:rsid w:val="000503E2"/>
    <w:rsid w:val="00050503"/>
    <w:rsid w:val="000509A9"/>
    <w:rsid w:val="00050D11"/>
    <w:rsid w:val="00051171"/>
    <w:rsid w:val="00051806"/>
    <w:rsid w:val="0005322A"/>
    <w:rsid w:val="0005350F"/>
    <w:rsid w:val="0005397A"/>
    <w:rsid w:val="0005443F"/>
    <w:rsid w:val="00054832"/>
    <w:rsid w:val="00054EC3"/>
    <w:rsid w:val="000552A3"/>
    <w:rsid w:val="000557F0"/>
    <w:rsid w:val="000558E9"/>
    <w:rsid w:val="00055CBC"/>
    <w:rsid w:val="00056966"/>
    <w:rsid w:val="00056ED6"/>
    <w:rsid w:val="00056F74"/>
    <w:rsid w:val="000570F0"/>
    <w:rsid w:val="00057451"/>
    <w:rsid w:val="0005780E"/>
    <w:rsid w:val="00057F27"/>
    <w:rsid w:val="000603DB"/>
    <w:rsid w:val="00060A21"/>
    <w:rsid w:val="000612AC"/>
    <w:rsid w:val="00061F18"/>
    <w:rsid w:val="000627CE"/>
    <w:rsid w:val="00062BF3"/>
    <w:rsid w:val="00062CE3"/>
    <w:rsid w:val="00063DD9"/>
    <w:rsid w:val="00065061"/>
    <w:rsid w:val="000650D8"/>
    <w:rsid w:val="000653A5"/>
    <w:rsid w:val="000654F4"/>
    <w:rsid w:val="00065598"/>
    <w:rsid w:val="000660CC"/>
    <w:rsid w:val="0006687D"/>
    <w:rsid w:val="000668BE"/>
    <w:rsid w:val="0006777B"/>
    <w:rsid w:val="000700E5"/>
    <w:rsid w:val="00070D20"/>
    <w:rsid w:val="00071417"/>
    <w:rsid w:val="00071758"/>
    <w:rsid w:val="000733EC"/>
    <w:rsid w:val="00074933"/>
    <w:rsid w:val="00074F8F"/>
    <w:rsid w:val="0007553D"/>
    <w:rsid w:val="00075F1F"/>
    <w:rsid w:val="0007647C"/>
    <w:rsid w:val="00076681"/>
    <w:rsid w:val="000804BF"/>
    <w:rsid w:val="00080587"/>
    <w:rsid w:val="00081236"/>
    <w:rsid w:val="00083628"/>
    <w:rsid w:val="0008422C"/>
    <w:rsid w:val="00084524"/>
    <w:rsid w:val="0008471F"/>
    <w:rsid w:val="00086567"/>
    <w:rsid w:val="00087CAB"/>
    <w:rsid w:val="00087E50"/>
    <w:rsid w:val="00087EB2"/>
    <w:rsid w:val="00093238"/>
    <w:rsid w:val="00093657"/>
    <w:rsid w:val="00093DDD"/>
    <w:rsid w:val="0009411F"/>
    <w:rsid w:val="00094E9F"/>
    <w:rsid w:val="0009517A"/>
    <w:rsid w:val="00095C99"/>
    <w:rsid w:val="00096319"/>
    <w:rsid w:val="00097432"/>
    <w:rsid w:val="0009766D"/>
    <w:rsid w:val="000976A7"/>
    <w:rsid w:val="00097D38"/>
    <w:rsid w:val="000A0A7C"/>
    <w:rsid w:val="000A1139"/>
    <w:rsid w:val="000A195A"/>
    <w:rsid w:val="000A2B4A"/>
    <w:rsid w:val="000A2C87"/>
    <w:rsid w:val="000A3266"/>
    <w:rsid w:val="000A3647"/>
    <w:rsid w:val="000A395A"/>
    <w:rsid w:val="000A406F"/>
    <w:rsid w:val="000A54A6"/>
    <w:rsid w:val="000A5A14"/>
    <w:rsid w:val="000A5E6F"/>
    <w:rsid w:val="000A60F3"/>
    <w:rsid w:val="000A63A8"/>
    <w:rsid w:val="000A7CA2"/>
    <w:rsid w:val="000B1C1F"/>
    <w:rsid w:val="000B202F"/>
    <w:rsid w:val="000B23AE"/>
    <w:rsid w:val="000B2A35"/>
    <w:rsid w:val="000B2E06"/>
    <w:rsid w:val="000B3E5B"/>
    <w:rsid w:val="000B4A16"/>
    <w:rsid w:val="000B4BBF"/>
    <w:rsid w:val="000B54F1"/>
    <w:rsid w:val="000B57A0"/>
    <w:rsid w:val="000B6267"/>
    <w:rsid w:val="000B701C"/>
    <w:rsid w:val="000C03CA"/>
    <w:rsid w:val="000C0B7F"/>
    <w:rsid w:val="000C1307"/>
    <w:rsid w:val="000C37C0"/>
    <w:rsid w:val="000C4358"/>
    <w:rsid w:val="000C5D8E"/>
    <w:rsid w:val="000C6768"/>
    <w:rsid w:val="000C6793"/>
    <w:rsid w:val="000C6F17"/>
    <w:rsid w:val="000D0D73"/>
    <w:rsid w:val="000D0F3F"/>
    <w:rsid w:val="000D103F"/>
    <w:rsid w:val="000D1B9E"/>
    <w:rsid w:val="000D1D65"/>
    <w:rsid w:val="000D2DB8"/>
    <w:rsid w:val="000D2EF7"/>
    <w:rsid w:val="000D5998"/>
    <w:rsid w:val="000D74E1"/>
    <w:rsid w:val="000E00FF"/>
    <w:rsid w:val="000E08C4"/>
    <w:rsid w:val="000E09DB"/>
    <w:rsid w:val="000E1398"/>
    <w:rsid w:val="000E1A90"/>
    <w:rsid w:val="000E1E29"/>
    <w:rsid w:val="000E377D"/>
    <w:rsid w:val="000E47E8"/>
    <w:rsid w:val="000E4C61"/>
    <w:rsid w:val="000E4F2C"/>
    <w:rsid w:val="000E53D0"/>
    <w:rsid w:val="000E5868"/>
    <w:rsid w:val="000E58F5"/>
    <w:rsid w:val="000E6C0E"/>
    <w:rsid w:val="000E6C55"/>
    <w:rsid w:val="000F05C5"/>
    <w:rsid w:val="000F0E77"/>
    <w:rsid w:val="000F30DF"/>
    <w:rsid w:val="000F4360"/>
    <w:rsid w:val="000F489F"/>
    <w:rsid w:val="000F56A2"/>
    <w:rsid w:val="000F5EB3"/>
    <w:rsid w:val="000F73D0"/>
    <w:rsid w:val="000F7544"/>
    <w:rsid w:val="000F7658"/>
    <w:rsid w:val="000F7C21"/>
    <w:rsid w:val="00101F54"/>
    <w:rsid w:val="001022F4"/>
    <w:rsid w:val="00103573"/>
    <w:rsid w:val="001036AC"/>
    <w:rsid w:val="00104916"/>
    <w:rsid w:val="001053D4"/>
    <w:rsid w:val="001055AE"/>
    <w:rsid w:val="00105F8B"/>
    <w:rsid w:val="00107012"/>
    <w:rsid w:val="00107411"/>
    <w:rsid w:val="00107919"/>
    <w:rsid w:val="00107E84"/>
    <w:rsid w:val="0011165F"/>
    <w:rsid w:val="00111A95"/>
    <w:rsid w:val="00111C67"/>
    <w:rsid w:val="0011223A"/>
    <w:rsid w:val="001130D0"/>
    <w:rsid w:val="0011317D"/>
    <w:rsid w:val="001149B4"/>
    <w:rsid w:val="00114CE0"/>
    <w:rsid w:val="001163C5"/>
    <w:rsid w:val="001165CF"/>
    <w:rsid w:val="00116695"/>
    <w:rsid w:val="00116ADC"/>
    <w:rsid w:val="00117067"/>
    <w:rsid w:val="001217F1"/>
    <w:rsid w:val="00122268"/>
    <w:rsid w:val="001231B4"/>
    <w:rsid w:val="001235FF"/>
    <w:rsid w:val="0012390F"/>
    <w:rsid w:val="00123DFA"/>
    <w:rsid w:val="00124832"/>
    <w:rsid w:val="00124921"/>
    <w:rsid w:val="001305D1"/>
    <w:rsid w:val="00130A65"/>
    <w:rsid w:val="001320D8"/>
    <w:rsid w:val="0013574E"/>
    <w:rsid w:val="00136E0F"/>
    <w:rsid w:val="00137310"/>
    <w:rsid w:val="00137E41"/>
    <w:rsid w:val="00140C5E"/>
    <w:rsid w:val="00140DB8"/>
    <w:rsid w:val="00142080"/>
    <w:rsid w:val="001425AA"/>
    <w:rsid w:val="001426CD"/>
    <w:rsid w:val="001428DE"/>
    <w:rsid w:val="0014431B"/>
    <w:rsid w:val="0014432D"/>
    <w:rsid w:val="001458E3"/>
    <w:rsid w:val="0014596A"/>
    <w:rsid w:val="00146D30"/>
    <w:rsid w:val="001474C3"/>
    <w:rsid w:val="001479FC"/>
    <w:rsid w:val="00150004"/>
    <w:rsid w:val="001504B1"/>
    <w:rsid w:val="00150B12"/>
    <w:rsid w:val="00150DC6"/>
    <w:rsid w:val="00151353"/>
    <w:rsid w:val="0015436D"/>
    <w:rsid w:val="00154557"/>
    <w:rsid w:val="001547C7"/>
    <w:rsid w:val="00154EA6"/>
    <w:rsid w:val="00155296"/>
    <w:rsid w:val="001557B3"/>
    <w:rsid w:val="00155809"/>
    <w:rsid w:val="00155D0F"/>
    <w:rsid w:val="00161762"/>
    <w:rsid w:val="00161A86"/>
    <w:rsid w:val="0016508B"/>
    <w:rsid w:val="00165447"/>
    <w:rsid w:val="00166F79"/>
    <w:rsid w:val="00167102"/>
    <w:rsid w:val="00170A1B"/>
    <w:rsid w:val="00170CA4"/>
    <w:rsid w:val="00170CD8"/>
    <w:rsid w:val="00170F59"/>
    <w:rsid w:val="00171A1F"/>
    <w:rsid w:val="0017222D"/>
    <w:rsid w:val="00172E0F"/>
    <w:rsid w:val="00173384"/>
    <w:rsid w:val="001744B3"/>
    <w:rsid w:val="0017465F"/>
    <w:rsid w:val="00174840"/>
    <w:rsid w:val="00175F3E"/>
    <w:rsid w:val="00176913"/>
    <w:rsid w:val="0018041F"/>
    <w:rsid w:val="00180A4C"/>
    <w:rsid w:val="00180CDC"/>
    <w:rsid w:val="00180F10"/>
    <w:rsid w:val="001814B3"/>
    <w:rsid w:val="001815BD"/>
    <w:rsid w:val="0018163B"/>
    <w:rsid w:val="00181A70"/>
    <w:rsid w:val="00181DF2"/>
    <w:rsid w:val="001823A9"/>
    <w:rsid w:val="0018240D"/>
    <w:rsid w:val="0018247A"/>
    <w:rsid w:val="00182622"/>
    <w:rsid w:val="001833A9"/>
    <w:rsid w:val="001841E6"/>
    <w:rsid w:val="001843B6"/>
    <w:rsid w:val="001850FA"/>
    <w:rsid w:val="00185753"/>
    <w:rsid w:val="001860CD"/>
    <w:rsid w:val="00186442"/>
    <w:rsid w:val="00186A35"/>
    <w:rsid w:val="00186CFD"/>
    <w:rsid w:val="00187E0C"/>
    <w:rsid w:val="00190354"/>
    <w:rsid w:val="00190F04"/>
    <w:rsid w:val="0019109D"/>
    <w:rsid w:val="00191521"/>
    <w:rsid w:val="001918E9"/>
    <w:rsid w:val="001921B3"/>
    <w:rsid w:val="0019324D"/>
    <w:rsid w:val="0019360C"/>
    <w:rsid w:val="00193A1E"/>
    <w:rsid w:val="00193BEC"/>
    <w:rsid w:val="001947CF"/>
    <w:rsid w:val="00194D68"/>
    <w:rsid w:val="00196A42"/>
    <w:rsid w:val="00196AFC"/>
    <w:rsid w:val="00197F96"/>
    <w:rsid w:val="001A0038"/>
    <w:rsid w:val="001A1C82"/>
    <w:rsid w:val="001A2365"/>
    <w:rsid w:val="001A256D"/>
    <w:rsid w:val="001A283B"/>
    <w:rsid w:val="001A2A46"/>
    <w:rsid w:val="001A2BB0"/>
    <w:rsid w:val="001A3A27"/>
    <w:rsid w:val="001A3ADE"/>
    <w:rsid w:val="001A4332"/>
    <w:rsid w:val="001A55AF"/>
    <w:rsid w:val="001A602F"/>
    <w:rsid w:val="001A69A5"/>
    <w:rsid w:val="001A75BF"/>
    <w:rsid w:val="001B0706"/>
    <w:rsid w:val="001B17B0"/>
    <w:rsid w:val="001B206E"/>
    <w:rsid w:val="001B210D"/>
    <w:rsid w:val="001B231E"/>
    <w:rsid w:val="001B3040"/>
    <w:rsid w:val="001B37E7"/>
    <w:rsid w:val="001B4152"/>
    <w:rsid w:val="001B5E12"/>
    <w:rsid w:val="001B6F22"/>
    <w:rsid w:val="001C05C2"/>
    <w:rsid w:val="001C0E24"/>
    <w:rsid w:val="001C148D"/>
    <w:rsid w:val="001C1B19"/>
    <w:rsid w:val="001C1FF9"/>
    <w:rsid w:val="001C2678"/>
    <w:rsid w:val="001C4AA5"/>
    <w:rsid w:val="001C5223"/>
    <w:rsid w:val="001C63DC"/>
    <w:rsid w:val="001C648D"/>
    <w:rsid w:val="001C734B"/>
    <w:rsid w:val="001D0A27"/>
    <w:rsid w:val="001D0DBA"/>
    <w:rsid w:val="001D0DF5"/>
    <w:rsid w:val="001D3F47"/>
    <w:rsid w:val="001D4B8C"/>
    <w:rsid w:val="001D58F6"/>
    <w:rsid w:val="001D69D9"/>
    <w:rsid w:val="001D6BE4"/>
    <w:rsid w:val="001E1A23"/>
    <w:rsid w:val="001E1BC7"/>
    <w:rsid w:val="001E1F20"/>
    <w:rsid w:val="001E30A0"/>
    <w:rsid w:val="001E3342"/>
    <w:rsid w:val="001E4639"/>
    <w:rsid w:val="001E5D0D"/>
    <w:rsid w:val="001E6AD9"/>
    <w:rsid w:val="001F168E"/>
    <w:rsid w:val="001F32C1"/>
    <w:rsid w:val="001F3657"/>
    <w:rsid w:val="001F4103"/>
    <w:rsid w:val="001F4C60"/>
    <w:rsid w:val="001F51FA"/>
    <w:rsid w:val="001F5CE7"/>
    <w:rsid w:val="001F6905"/>
    <w:rsid w:val="001F6DA5"/>
    <w:rsid w:val="001F6FB2"/>
    <w:rsid w:val="0020135A"/>
    <w:rsid w:val="00201400"/>
    <w:rsid w:val="00202C2D"/>
    <w:rsid w:val="002035DB"/>
    <w:rsid w:val="002036A1"/>
    <w:rsid w:val="00203AD5"/>
    <w:rsid w:val="00204922"/>
    <w:rsid w:val="00204996"/>
    <w:rsid w:val="00204BC3"/>
    <w:rsid w:val="00204DCA"/>
    <w:rsid w:val="002053A1"/>
    <w:rsid w:val="0020552B"/>
    <w:rsid w:val="002066C3"/>
    <w:rsid w:val="00206D20"/>
    <w:rsid w:val="00207151"/>
    <w:rsid w:val="00207A6F"/>
    <w:rsid w:val="00207B6E"/>
    <w:rsid w:val="00207CEF"/>
    <w:rsid w:val="00211349"/>
    <w:rsid w:val="00212135"/>
    <w:rsid w:val="00214342"/>
    <w:rsid w:val="00214E0A"/>
    <w:rsid w:val="00216287"/>
    <w:rsid w:val="0021693C"/>
    <w:rsid w:val="002179E8"/>
    <w:rsid w:val="00217B47"/>
    <w:rsid w:val="00220B8D"/>
    <w:rsid w:val="00220BB0"/>
    <w:rsid w:val="002211D4"/>
    <w:rsid w:val="00221252"/>
    <w:rsid w:val="0022153C"/>
    <w:rsid w:val="002218EB"/>
    <w:rsid w:val="00221BD2"/>
    <w:rsid w:val="00221C70"/>
    <w:rsid w:val="002220D1"/>
    <w:rsid w:val="00224283"/>
    <w:rsid w:val="00224858"/>
    <w:rsid w:val="00224F39"/>
    <w:rsid w:val="00225677"/>
    <w:rsid w:val="00225A7B"/>
    <w:rsid w:val="00225C27"/>
    <w:rsid w:val="0022695A"/>
    <w:rsid w:val="002274D0"/>
    <w:rsid w:val="002275E8"/>
    <w:rsid w:val="00227C36"/>
    <w:rsid w:val="00227F3C"/>
    <w:rsid w:val="00230396"/>
    <w:rsid w:val="002306E9"/>
    <w:rsid w:val="00230B81"/>
    <w:rsid w:val="002322E8"/>
    <w:rsid w:val="002326A6"/>
    <w:rsid w:val="0023284D"/>
    <w:rsid w:val="00232FCD"/>
    <w:rsid w:val="00233ADE"/>
    <w:rsid w:val="00233DE1"/>
    <w:rsid w:val="00234D8A"/>
    <w:rsid w:val="00235F55"/>
    <w:rsid w:val="002367BA"/>
    <w:rsid w:val="0023783A"/>
    <w:rsid w:val="00237EFC"/>
    <w:rsid w:val="00240205"/>
    <w:rsid w:val="00240481"/>
    <w:rsid w:val="0024094B"/>
    <w:rsid w:val="00241D22"/>
    <w:rsid w:val="00241E52"/>
    <w:rsid w:val="00243555"/>
    <w:rsid w:val="00243AAF"/>
    <w:rsid w:val="00243B8D"/>
    <w:rsid w:val="00243DF6"/>
    <w:rsid w:val="0024538E"/>
    <w:rsid w:val="002457DF"/>
    <w:rsid w:val="00245B76"/>
    <w:rsid w:val="00247211"/>
    <w:rsid w:val="00247FD8"/>
    <w:rsid w:val="002505FB"/>
    <w:rsid w:val="00250D12"/>
    <w:rsid w:val="00250E14"/>
    <w:rsid w:val="00250EC3"/>
    <w:rsid w:val="00251A08"/>
    <w:rsid w:val="002528E3"/>
    <w:rsid w:val="00252A96"/>
    <w:rsid w:val="00253C22"/>
    <w:rsid w:val="00253ED8"/>
    <w:rsid w:val="00254022"/>
    <w:rsid w:val="00254608"/>
    <w:rsid w:val="002547B6"/>
    <w:rsid w:val="00254B57"/>
    <w:rsid w:val="0025512E"/>
    <w:rsid w:val="00255447"/>
    <w:rsid w:val="002555FE"/>
    <w:rsid w:val="00256AC3"/>
    <w:rsid w:val="00256EAE"/>
    <w:rsid w:val="002571C2"/>
    <w:rsid w:val="002573C1"/>
    <w:rsid w:val="0025793A"/>
    <w:rsid w:val="0025794C"/>
    <w:rsid w:val="00257C29"/>
    <w:rsid w:val="00260D85"/>
    <w:rsid w:val="002612B3"/>
    <w:rsid w:val="00261419"/>
    <w:rsid w:val="00261E14"/>
    <w:rsid w:val="00262251"/>
    <w:rsid w:val="00263CD5"/>
    <w:rsid w:val="002643F9"/>
    <w:rsid w:val="002649D1"/>
    <w:rsid w:val="00264ECC"/>
    <w:rsid w:val="0026503E"/>
    <w:rsid w:val="002660A5"/>
    <w:rsid w:val="002672D4"/>
    <w:rsid w:val="00267710"/>
    <w:rsid w:val="00267FD1"/>
    <w:rsid w:val="00267FDD"/>
    <w:rsid w:val="002706B4"/>
    <w:rsid w:val="00271497"/>
    <w:rsid w:val="00271722"/>
    <w:rsid w:val="00273732"/>
    <w:rsid w:val="002743A7"/>
    <w:rsid w:val="00274876"/>
    <w:rsid w:val="002753B4"/>
    <w:rsid w:val="00276177"/>
    <w:rsid w:val="002765E6"/>
    <w:rsid w:val="0027696A"/>
    <w:rsid w:val="00277357"/>
    <w:rsid w:val="0028084A"/>
    <w:rsid w:val="002813A2"/>
    <w:rsid w:val="00281CE6"/>
    <w:rsid w:val="00281D72"/>
    <w:rsid w:val="00282B84"/>
    <w:rsid w:val="00282DDA"/>
    <w:rsid w:val="00284F1E"/>
    <w:rsid w:val="002851BC"/>
    <w:rsid w:val="0028565C"/>
    <w:rsid w:val="0028570B"/>
    <w:rsid w:val="0028575F"/>
    <w:rsid w:val="00285874"/>
    <w:rsid w:val="002872CD"/>
    <w:rsid w:val="00287556"/>
    <w:rsid w:val="00287F58"/>
    <w:rsid w:val="002912B0"/>
    <w:rsid w:val="0029222F"/>
    <w:rsid w:val="0029248D"/>
    <w:rsid w:val="0029456A"/>
    <w:rsid w:val="00294D4B"/>
    <w:rsid w:val="0029538D"/>
    <w:rsid w:val="0029723F"/>
    <w:rsid w:val="00297DE4"/>
    <w:rsid w:val="002A0002"/>
    <w:rsid w:val="002A1611"/>
    <w:rsid w:val="002A163E"/>
    <w:rsid w:val="002A16BD"/>
    <w:rsid w:val="002A1C53"/>
    <w:rsid w:val="002A1F81"/>
    <w:rsid w:val="002A2317"/>
    <w:rsid w:val="002A2607"/>
    <w:rsid w:val="002A2A3C"/>
    <w:rsid w:val="002A2AAF"/>
    <w:rsid w:val="002A34DB"/>
    <w:rsid w:val="002A3A11"/>
    <w:rsid w:val="002A3BC5"/>
    <w:rsid w:val="002A52D2"/>
    <w:rsid w:val="002A602B"/>
    <w:rsid w:val="002A7EBC"/>
    <w:rsid w:val="002B00CC"/>
    <w:rsid w:val="002B0181"/>
    <w:rsid w:val="002B0490"/>
    <w:rsid w:val="002B0793"/>
    <w:rsid w:val="002B080D"/>
    <w:rsid w:val="002B0C37"/>
    <w:rsid w:val="002B1CF6"/>
    <w:rsid w:val="002B239C"/>
    <w:rsid w:val="002B32A5"/>
    <w:rsid w:val="002B3365"/>
    <w:rsid w:val="002B3D0A"/>
    <w:rsid w:val="002B402B"/>
    <w:rsid w:val="002B4162"/>
    <w:rsid w:val="002B4346"/>
    <w:rsid w:val="002B44A8"/>
    <w:rsid w:val="002B4A02"/>
    <w:rsid w:val="002B61C0"/>
    <w:rsid w:val="002B6B29"/>
    <w:rsid w:val="002B6CD5"/>
    <w:rsid w:val="002B6F07"/>
    <w:rsid w:val="002C1ECF"/>
    <w:rsid w:val="002C2E37"/>
    <w:rsid w:val="002C368A"/>
    <w:rsid w:val="002C3956"/>
    <w:rsid w:val="002C491F"/>
    <w:rsid w:val="002C4AA2"/>
    <w:rsid w:val="002C4B46"/>
    <w:rsid w:val="002C60EB"/>
    <w:rsid w:val="002C6618"/>
    <w:rsid w:val="002C6F41"/>
    <w:rsid w:val="002D1756"/>
    <w:rsid w:val="002D1D9C"/>
    <w:rsid w:val="002D2404"/>
    <w:rsid w:val="002D3524"/>
    <w:rsid w:val="002D35DB"/>
    <w:rsid w:val="002D4A2B"/>
    <w:rsid w:val="002D693C"/>
    <w:rsid w:val="002E0329"/>
    <w:rsid w:val="002E05C8"/>
    <w:rsid w:val="002E072A"/>
    <w:rsid w:val="002E076A"/>
    <w:rsid w:val="002E0C9E"/>
    <w:rsid w:val="002E1072"/>
    <w:rsid w:val="002E164F"/>
    <w:rsid w:val="002E2DA0"/>
    <w:rsid w:val="002E44AD"/>
    <w:rsid w:val="002E4C65"/>
    <w:rsid w:val="002E53AF"/>
    <w:rsid w:val="002E5B6A"/>
    <w:rsid w:val="002E673F"/>
    <w:rsid w:val="002F2AAC"/>
    <w:rsid w:val="002F51E8"/>
    <w:rsid w:val="002F52C1"/>
    <w:rsid w:val="002F6502"/>
    <w:rsid w:val="002F66CD"/>
    <w:rsid w:val="002F670E"/>
    <w:rsid w:val="002F6AEC"/>
    <w:rsid w:val="0030264F"/>
    <w:rsid w:val="00302E14"/>
    <w:rsid w:val="00303ACE"/>
    <w:rsid w:val="00305F8B"/>
    <w:rsid w:val="003065A6"/>
    <w:rsid w:val="00307285"/>
    <w:rsid w:val="003103F3"/>
    <w:rsid w:val="003119EE"/>
    <w:rsid w:val="00312B66"/>
    <w:rsid w:val="00312D40"/>
    <w:rsid w:val="00313185"/>
    <w:rsid w:val="003145FE"/>
    <w:rsid w:val="0031482A"/>
    <w:rsid w:val="00314FEE"/>
    <w:rsid w:val="00315F7F"/>
    <w:rsid w:val="00316678"/>
    <w:rsid w:val="003174F0"/>
    <w:rsid w:val="00317731"/>
    <w:rsid w:val="00317A00"/>
    <w:rsid w:val="00321AD4"/>
    <w:rsid w:val="00323347"/>
    <w:rsid w:val="00324BAC"/>
    <w:rsid w:val="00327667"/>
    <w:rsid w:val="00327842"/>
    <w:rsid w:val="00327881"/>
    <w:rsid w:val="003302B8"/>
    <w:rsid w:val="00330557"/>
    <w:rsid w:val="003326C0"/>
    <w:rsid w:val="00333701"/>
    <w:rsid w:val="003350A0"/>
    <w:rsid w:val="003351B3"/>
    <w:rsid w:val="00335299"/>
    <w:rsid w:val="003353FB"/>
    <w:rsid w:val="00335D5C"/>
    <w:rsid w:val="0033647F"/>
    <w:rsid w:val="00337BBF"/>
    <w:rsid w:val="00343CF1"/>
    <w:rsid w:val="00344BB4"/>
    <w:rsid w:val="00344E61"/>
    <w:rsid w:val="0034528A"/>
    <w:rsid w:val="003454E1"/>
    <w:rsid w:val="00345DCD"/>
    <w:rsid w:val="00346428"/>
    <w:rsid w:val="00346C9F"/>
    <w:rsid w:val="00350093"/>
    <w:rsid w:val="003519C2"/>
    <w:rsid w:val="00352C6D"/>
    <w:rsid w:val="0035302D"/>
    <w:rsid w:val="00353374"/>
    <w:rsid w:val="00353482"/>
    <w:rsid w:val="00354381"/>
    <w:rsid w:val="003545BE"/>
    <w:rsid w:val="00355097"/>
    <w:rsid w:val="00355503"/>
    <w:rsid w:val="00356068"/>
    <w:rsid w:val="003561DB"/>
    <w:rsid w:val="003561F0"/>
    <w:rsid w:val="003569AA"/>
    <w:rsid w:val="00356E81"/>
    <w:rsid w:val="0036047C"/>
    <w:rsid w:val="00360DAA"/>
    <w:rsid w:val="0036207F"/>
    <w:rsid w:val="003626C0"/>
    <w:rsid w:val="00362EE5"/>
    <w:rsid w:val="0036489E"/>
    <w:rsid w:val="00364A81"/>
    <w:rsid w:val="003658C8"/>
    <w:rsid w:val="0036615D"/>
    <w:rsid w:val="00366509"/>
    <w:rsid w:val="00371879"/>
    <w:rsid w:val="00371D7E"/>
    <w:rsid w:val="00372009"/>
    <w:rsid w:val="00372C80"/>
    <w:rsid w:val="00373BAC"/>
    <w:rsid w:val="00373D91"/>
    <w:rsid w:val="0037575C"/>
    <w:rsid w:val="003766C8"/>
    <w:rsid w:val="00376FF0"/>
    <w:rsid w:val="00377808"/>
    <w:rsid w:val="0038075F"/>
    <w:rsid w:val="00383871"/>
    <w:rsid w:val="00383CB8"/>
    <w:rsid w:val="00383F4E"/>
    <w:rsid w:val="003843D5"/>
    <w:rsid w:val="00384A55"/>
    <w:rsid w:val="00385030"/>
    <w:rsid w:val="0038669A"/>
    <w:rsid w:val="00387194"/>
    <w:rsid w:val="003874FD"/>
    <w:rsid w:val="0038775B"/>
    <w:rsid w:val="00387976"/>
    <w:rsid w:val="00387EE7"/>
    <w:rsid w:val="00387F1C"/>
    <w:rsid w:val="0039031A"/>
    <w:rsid w:val="0039098C"/>
    <w:rsid w:val="003929C4"/>
    <w:rsid w:val="00392A38"/>
    <w:rsid w:val="00393BC2"/>
    <w:rsid w:val="003943FA"/>
    <w:rsid w:val="00396207"/>
    <w:rsid w:val="00396B73"/>
    <w:rsid w:val="00397FC7"/>
    <w:rsid w:val="003A0519"/>
    <w:rsid w:val="003A0950"/>
    <w:rsid w:val="003A111E"/>
    <w:rsid w:val="003A2285"/>
    <w:rsid w:val="003A2622"/>
    <w:rsid w:val="003A3036"/>
    <w:rsid w:val="003A3505"/>
    <w:rsid w:val="003A4C42"/>
    <w:rsid w:val="003A528C"/>
    <w:rsid w:val="003A6511"/>
    <w:rsid w:val="003A6671"/>
    <w:rsid w:val="003A6D84"/>
    <w:rsid w:val="003A6DC7"/>
    <w:rsid w:val="003A74E3"/>
    <w:rsid w:val="003B02EF"/>
    <w:rsid w:val="003B168F"/>
    <w:rsid w:val="003B1B52"/>
    <w:rsid w:val="003B1C5A"/>
    <w:rsid w:val="003B1FA6"/>
    <w:rsid w:val="003B2EC7"/>
    <w:rsid w:val="003B32D8"/>
    <w:rsid w:val="003B4390"/>
    <w:rsid w:val="003B49A0"/>
    <w:rsid w:val="003B65C1"/>
    <w:rsid w:val="003B69F1"/>
    <w:rsid w:val="003C0FFF"/>
    <w:rsid w:val="003C11D3"/>
    <w:rsid w:val="003C1A96"/>
    <w:rsid w:val="003C2B17"/>
    <w:rsid w:val="003C3079"/>
    <w:rsid w:val="003C6443"/>
    <w:rsid w:val="003C6D19"/>
    <w:rsid w:val="003C70FD"/>
    <w:rsid w:val="003D1CB3"/>
    <w:rsid w:val="003D24F0"/>
    <w:rsid w:val="003D2EE8"/>
    <w:rsid w:val="003D2F3C"/>
    <w:rsid w:val="003D30DA"/>
    <w:rsid w:val="003D330C"/>
    <w:rsid w:val="003D4A2E"/>
    <w:rsid w:val="003D4CEA"/>
    <w:rsid w:val="003D57DE"/>
    <w:rsid w:val="003D7503"/>
    <w:rsid w:val="003D7B53"/>
    <w:rsid w:val="003D7C41"/>
    <w:rsid w:val="003D7C77"/>
    <w:rsid w:val="003D7C7A"/>
    <w:rsid w:val="003E0AE3"/>
    <w:rsid w:val="003E2EDD"/>
    <w:rsid w:val="003E33F2"/>
    <w:rsid w:val="003E4D2D"/>
    <w:rsid w:val="003E6BBF"/>
    <w:rsid w:val="003E72D7"/>
    <w:rsid w:val="003E7591"/>
    <w:rsid w:val="003E79B9"/>
    <w:rsid w:val="003E7BF5"/>
    <w:rsid w:val="003E7F75"/>
    <w:rsid w:val="003F051C"/>
    <w:rsid w:val="003F1923"/>
    <w:rsid w:val="003F319D"/>
    <w:rsid w:val="003F5C5E"/>
    <w:rsid w:val="003F5EB0"/>
    <w:rsid w:val="003F6716"/>
    <w:rsid w:val="003F6C5B"/>
    <w:rsid w:val="003F6ED8"/>
    <w:rsid w:val="003F7801"/>
    <w:rsid w:val="003F7953"/>
    <w:rsid w:val="003F7D5E"/>
    <w:rsid w:val="003F7FEA"/>
    <w:rsid w:val="003F7FF0"/>
    <w:rsid w:val="00400BD6"/>
    <w:rsid w:val="00400F0D"/>
    <w:rsid w:val="00402085"/>
    <w:rsid w:val="0040365C"/>
    <w:rsid w:val="0040423B"/>
    <w:rsid w:val="004044E1"/>
    <w:rsid w:val="00405440"/>
    <w:rsid w:val="0040544F"/>
    <w:rsid w:val="004055A6"/>
    <w:rsid w:val="0040640F"/>
    <w:rsid w:val="00407F4B"/>
    <w:rsid w:val="0041000E"/>
    <w:rsid w:val="004107A2"/>
    <w:rsid w:val="00411423"/>
    <w:rsid w:val="0041176C"/>
    <w:rsid w:val="00411C5F"/>
    <w:rsid w:val="00412549"/>
    <w:rsid w:val="00412A7D"/>
    <w:rsid w:val="00413D35"/>
    <w:rsid w:val="00414413"/>
    <w:rsid w:val="00414490"/>
    <w:rsid w:val="00415F89"/>
    <w:rsid w:val="00416ABF"/>
    <w:rsid w:val="0041763A"/>
    <w:rsid w:val="004210ED"/>
    <w:rsid w:val="00421E18"/>
    <w:rsid w:val="0042323D"/>
    <w:rsid w:val="004233A3"/>
    <w:rsid w:val="00423A1E"/>
    <w:rsid w:val="00423EB1"/>
    <w:rsid w:val="00424BC5"/>
    <w:rsid w:val="00425E70"/>
    <w:rsid w:val="0042608F"/>
    <w:rsid w:val="004266ED"/>
    <w:rsid w:val="00427337"/>
    <w:rsid w:val="00427E46"/>
    <w:rsid w:val="00427F6C"/>
    <w:rsid w:val="00430503"/>
    <w:rsid w:val="00430C3B"/>
    <w:rsid w:val="00431113"/>
    <w:rsid w:val="00431757"/>
    <w:rsid w:val="00431FEA"/>
    <w:rsid w:val="00432C71"/>
    <w:rsid w:val="004331FD"/>
    <w:rsid w:val="004339F7"/>
    <w:rsid w:val="00434815"/>
    <w:rsid w:val="00434AAA"/>
    <w:rsid w:val="00435506"/>
    <w:rsid w:val="00435533"/>
    <w:rsid w:val="00435768"/>
    <w:rsid w:val="00436745"/>
    <w:rsid w:val="0043678F"/>
    <w:rsid w:val="00436B51"/>
    <w:rsid w:val="004377A9"/>
    <w:rsid w:val="00437BF4"/>
    <w:rsid w:val="00437C8C"/>
    <w:rsid w:val="004420F7"/>
    <w:rsid w:val="00442149"/>
    <w:rsid w:val="0044255D"/>
    <w:rsid w:val="004433CF"/>
    <w:rsid w:val="004437C0"/>
    <w:rsid w:val="00443FAF"/>
    <w:rsid w:val="004442F3"/>
    <w:rsid w:val="00444ED7"/>
    <w:rsid w:val="00450997"/>
    <w:rsid w:val="0045112A"/>
    <w:rsid w:val="00451692"/>
    <w:rsid w:val="00454368"/>
    <w:rsid w:val="00454D32"/>
    <w:rsid w:val="00454E77"/>
    <w:rsid w:val="00455844"/>
    <w:rsid w:val="00455B9A"/>
    <w:rsid w:val="00455F5D"/>
    <w:rsid w:val="004561A6"/>
    <w:rsid w:val="00456D83"/>
    <w:rsid w:val="00456F84"/>
    <w:rsid w:val="004579D2"/>
    <w:rsid w:val="00457BA7"/>
    <w:rsid w:val="00457CAC"/>
    <w:rsid w:val="004616D7"/>
    <w:rsid w:val="00461705"/>
    <w:rsid w:val="00461AF3"/>
    <w:rsid w:val="00461E4A"/>
    <w:rsid w:val="00462245"/>
    <w:rsid w:val="0046274B"/>
    <w:rsid w:val="00463325"/>
    <w:rsid w:val="0046414F"/>
    <w:rsid w:val="00464279"/>
    <w:rsid w:val="0046428C"/>
    <w:rsid w:val="004659C4"/>
    <w:rsid w:val="0046697A"/>
    <w:rsid w:val="00466BCE"/>
    <w:rsid w:val="004677DF"/>
    <w:rsid w:val="00470017"/>
    <w:rsid w:val="004723D0"/>
    <w:rsid w:val="004724AF"/>
    <w:rsid w:val="004724BC"/>
    <w:rsid w:val="00472A0C"/>
    <w:rsid w:val="00472F3A"/>
    <w:rsid w:val="00473864"/>
    <w:rsid w:val="00474369"/>
    <w:rsid w:val="004750AC"/>
    <w:rsid w:val="00475429"/>
    <w:rsid w:val="004756A9"/>
    <w:rsid w:val="00475FB7"/>
    <w:rsid w:val="004802F3"/>
    <w:rsid w:val="00480B9B"/>
    <w:rsid w:val="00481076"/>
    <w:rsid w:val="00481869"/>
    <w:rsid w:val="00481C6B"/>
    <w:rsid w:val="00481F79"/>
    <w:rsid w:val="004821EA"/>
    <w:rsid w:val="00482E6E"/>
    <w:rsid w:val="00483413"/>
    <w:rsid w:val="00483971"/>
    <w:rsid w:val="00484D07"/>
    <w:rsid w:val="0048553B"/>
    <w:rsid w:val="00485FA3"/>
    <w:rsid w:val="004860DA"/>
    <w:rsid w:val="00486813"/>
    <w:rsid w:val="00486959"/>
    <w:rsid w:val="00486EE0"/>
    <w:rsid w:val="00487BA0"/>
    <w:rsid w:val="00487EB9"/>
    <w:rsid w:val="00487EC8"/>
    <w:rsid w:val="00490550"/>
    <w:rsid w:val="00490F51"/>
    <w:rsid w:val="00490F85"/>
    <w:rsid w:val="004917FD"/>
    <w:rsid w:val="00493642"/>
    <w:rsid w:val="004943BD"/>
    <w:rsid w:val="00494EDB"/>
    <w:rsid w:val="0049598F"/>
    <w:rsid w:val="00495B5C"/>
    <w:rsid w:val="004960EC"/>
    <w:rsid w:val="00496A8F"/>
    <w:rsid w:val="00497C21"/>
    <w:rsid w:val="004A1695"/>
    <w:rsid w:val="004A239C"/>
    <w:rsid w:val="004A34DC"/>
    <w:rsid w:val="004A3A99"/>
    <w:rsid w:val="004A3F3B"/>
    <w:rsid w:val="004A400D"/>
    <w:rsid w:val="004A4276"/>
    <w:rsid w:val="004A438C"/>
    <w:rsid w:val="004A4FB3"/>
    <w:rsid w:val="004A5FFD"/>
    <w:rsid w:val="004A6942"/>
    <w:rsid w:val="004A6C03"/>
    <w:rsid w:val="004A713C"/>
    <w:rsid w:val="004A72F1"/>
    <w:rsid w:val="004A7BB6"/>
    <w:rsid w:val="004A7EC9"/>
    <w:rsid w:val="004B02DB"/>
    <w:rsid w:val="004B052C"/>
    <w:rsid w:val="004B0B55"/>
    <w:rsid w:val="004B1382"/>
    <w:rsid w:val="004B1DA3"/>
    <w:rsid w:val="004B2561"/>
    <w:rsid w:val="004B517F"/>
    <w:rsid w:val="004B5226"/>
    <w:rsid w:val="004B5BA8"/>
    <w:rsid w:val="004B6D3E"/>
    <w:rsid w:val="004B7E37"/>
    <w:rsid w:val="004C0544"/>
    <w:rsid w:val="004C055C"/>
    <w:rsid w:val="004C117A"/>
    <w:rsid w:val="004C182E"/>
    <w:rsid w:val="004C1E21"/>
    <w:rsid w:val="004C28D3"/>
    <w:rsid w:val="004C2AD9"/>
    <w:rsid w:val="004C2D07"/>
    <w:rsid w:val="004C355E"/>
    <w:rsid w:val="004C55E8"/>
    <w:rsid w:val="004C5BE3"/>
    <w:rsid w:val="004C5C0F"/>
    <w:rsid w:val="004C5F92"/>
    <w:rsid w:val="004C64B7"/>
    <w:rsid w:val="004D08AC"/>
    <w:rsid w:val="004D0BBE"/>
    <w:rsid w:val="004D342A"/>
    <w:rsid w:val="004D3507"/>
    <w:rsid w:val="004D3C85"/>
    <w:rsid w:val="004D5FC0"/>
    <w:rsid w:val="004D6A77"/>
    <w:rsid w:val="004D6FAD"/>
    <w:rsid w:val="004D71B2"/>
    <w:rsid w:val="004D740F"/>
    <w:rsid w:val="004D7BED"/>
    <w:rsid w:val="004D7D31"/>
    <w:rsid w:val="004E04E3"/>
    <w:rsid w:val="004E159A"/>
    <w:rsid w:val="004E175B"/>
    <w:rsid w:val="004E2090"/>
    <w:rsid w:val="004E316F"/>
    <w:rsid w:val="004E3F41"/>
    <w:rsid w:val="004E5913"/>
    <w:rsid w:val="004E6114"/>
    <w:rsid w:val="004E6ADD"/>
    <w:rsid w:val="004E700B"/>
    <w:rsid w:val="004E7089"/>
    <w:rsid w:val="004E7E22"/>
    <w:rsid w:val="004F03C8"/>
    <w:rsid w:val="004F0A4A"/>
    <w:rsid w:val="004F1193"/>
    <w:rsid w:val="004F12DC"/>
    <w:rsid w:val="004F2774"/>
    <w:rsid w:val="004F2A61"/>
    <w:rsid w:val="004F2F07"/>
    <w:rsid w:val="004F3225"/>
    <w:rsid w:val="004F3556"/>
    <w:rsid w:val="004F5796"/>
    <w:rsid w:val="004F6788"/>
    <w:rsid w:val="004F6AFC"/>
    <w:rsid w:val="004F6E89"/>
    <w:rsid w:val="00500465"/>
    <w:rsid w:val="005004CE"/>
    <w:rsid w:val="005015A7"/>
    <w:rsid w:val="00501A15"/>
    <w:rsid w:val="0050218D"/>
    <w:rsid w:val="005028EA"/>
    <w:rsid w:val="00502E75"/>
    <w:rsid w:val="00503DA0"/>
    <w:rsid w:val="00504483"/>
    <w:rsid w:val="00504C22"/>
    <w:rsid w:val="005051EA"/>
    <w:rsid w:val="005052EB"/>
    <w:rsid w:val="00505306"/>
    <w:rsid w:val="0050591B"/>
    <w:rsid w:val="0050681B"/>
    <w:rsid w:val="00506FBE"/>
    <w:rsid w:val="005104F2"/>
    <w:rsid w:val="00510CD3"/>
    <w:rsid w:val="005115F8"/>
    <w:rsid w:val="0051162C"/>
    <w:rsid w:val="00511719"/>
    <w:rsid w:val="00511808"/>
    <w:rsid w:val="00512102"/>
    <w:rsid w:val="005122DA"/>
    <w:rsid w:val="005140D7"/>
    <w:rsid w:val="00514119"/>
    <w:rsid w:val="0051450E"/>
    <w:rsid w:val="005146BE"/>
    <w:rsid w:val="00514F1A"/>
    <w:rsid w:val="00515324"/>
    <w:rsid w:val="005155CF"/>
    <w:rsid w:val="00515CF4"/>
    <w:rsid w:val="00516162"/>
    <w:rsid w:val="00516507"/>
    <w:rsid w:val="0051682C"/>
    <w:rsid w:val="00517484"/>
    <w:rsid w:val="00517536"/>
    <w:rsid w:val="00520545"/>
    <w:rsid w:val="00520973"/>
    <w:rsid w:val="00521ACF"/>
    <w:rsid w:val="00521B7F"/>
    <w:rsid w:val="005230DF"/>
    <w:rsid w:val="00524A72"/>
    <w:rsid w:val="00524A96"/>
    <w:rsid w:val="005255F6"/>
    <w:rsid w:val="005264BE"/>
    <w:rsid w:val="00532247"/>
    <w:rsid w:val="00533433"/>
    <w:rsid w:val="005345B7"/>
    <w:rsid w:val="00534DEA"/>
    <w:rsid w:val="00534E7B"/>
    <w:rsid w:val="005354BB"/>
    <w:rsid w:val="00535B20"/>
    <w:rsid w:val="00535C1F"/>
    <w:rsid w:val="00535E4C"/>
    <w:rsid w:val="0053699D"/>
    <w:rsid w:val="00536D11"/>
    <w:rsid w:val="00537D79"/>
    <w:rsid w:val="00540525"/>
    <w:rsid w:val="00541125"/>
    <w:rsid w:val="00541232"/>
    <w:rsid w:val="00541F56"/>
    <w:rsid w:val="00541F9C"/>
    <w:rsid w:val="00542CDA"/>
    <w:rsid w:val="00543EA2"/>
    <w:rsid w:val="00544768"/>
    <w:rsid w:val="005451ED"/>
    <w:rsid w:val="005456C2"/>
    <w:rsid w:val="00546CA1"/>
    <w:rsid w:val="005473BE"/>
    <w:rsid w:val="0054795E"/>
    <w:rsid w:val="00547CCF"/>
    <w:rsid w:val="00547D4F"/>
    <w:rsid w:val="00551D33"/>
    <w:rsid w:val="005521A7"/>
    <w:rsid w:val="0055238F"/>
    <w:rsid w:val="00553C02"/>
    <w:rsid w:val="00553C31"/>
    <w:rsid w:val="00554130"/>
    <w:rsid w:val="00554651"/>
    <w:rsid w:val="00554EBC"/>
    <w:rsid w:val="00555A72"/>
    <w:rsid w:val="00556324"/>
    <w:rsid w:val="0055635B"/>
    <w:rsid w:val="00557385"/>
    <w:rsid w:val="00557AF5"/>
    <w:rsid w:val="00560087"/>
    <w:rsid w:val="00563A7A"/>
    <w:rsid w:val="00564585"/>
    <w:rsid w:val="005650A3"/>
    <w:rsid w:val="00565B68"/>
    <w:rsid w:val="00565D17"/>
    <w:rsid w:val="00565EFD"/>
    <w:rsid w:val="0056665D"/>
    <w:rsid w:val="005668E4"/>
    <w:rsid w:val="00570889"/>
    <w:rsid w:val="00570F17"/>
    <w:rsid w:val="005710FF"/>
    <w:rsid w:val="005720B5"/>
    <w:rsid w:val="005726EB"/>
    <w:rsid w:val="00572FA5"/>
    <w:rsid w:val="00573D5D"/>
    <w:rsid w:val="0057421C"/>
    <w:rsid w:val="00576812"/>
    <w:rsid w:val="005775B7"/>
    <w:rsid w:val="00580F57"/>
    <w:rsid w:val="0058244B"/>
    <w:rsid w:val="0058314A"/>
    <w:rsid w:val="0058327D"/>
    <w:rsid w:val="00583679"/>
    <w:rsid w:val="005847F1"/>
    <w:rsid w:val="00584804"/>
    <w:rsid w:val="00585436"/>
    <w:rsid w:val="005867E8"/>
    <w:rsid w:val="005868EC"/>
    <w:rsid w:val="00586FCD"/>
    <w:rsid w:val="0058741B"/>
    <w:rsid w:val="00587D9D"/>
    <w:rsid w:val="00590027"/>
    <w:rsid w:val="005902C4"/>
    <w:rsid w:val="00591CDA"/>
    <w:rsid w:val="005928DA"/>
    <w:rsid w:val="0059327D"/>
    <w:rsid w:val="0059358B"/>
    <w:rsid w:val="00593A3C"/>
    <w:rsid w:val="00593C26"/>
    <w:rsid w:val="00594E6A"/>
    <w:rsid w:val="00594FCD"/>
    <w:rsid w:val="00595A80"/>
    <w:rsid w:val="00595E0A"/>
    <w:rsid w:val="00596BA9"/>
    <w:rsid w:val="00596F79"/>
    <w:rsid w:val="00597F5D"/>
    <w:rsid w:val="005A0CBC"/>
    <w:rsid w:val="005A226E"/>
    <w:rsid w:val="005A4644"/>
    <w:rsid w:val="005A552E"/>
    <w:rsid w:val="005A6BD6"/>
    <w:rsid w:val="005A6D00"/>
    <w:rsid w:val="005B02C3"/>
    <w:rsid w:val="005B23B5"/>
    <w:rsid w:val="005B29D0"/>
    <w:rsid w:val="005B2A83"/>
    <w:rsid w:val="005B2D6A"/>
    <w:rsid w:val="005B385F"/>
    <w:rsid w:val="005B3FD4"/>
    <w:rsid w:val="005B46F7"/>
    <w:rsid w:val="005B4BE2"/>
    <w:rsid w:val="005C020F"/>
    <w:rsid w:val="005C0275"/>
    <w:rsid w:val="005C0578"/>
    <w:rsid w:val="005C087D"/>
    <w:rsid w:val="005C0F17"/>
    <w:rsid w:val="005C1204"/>
    <w:rsid w:val="005C1282"/>
    <w:rsid w:val="005C132E"/>
    <w:rsid w:val="005C14E2"/>
    <w:rsid w:val="005C1539"/>
    <w:rsid w:val="005C20D0"/>
    <w:rsid w:val="005C4430"/>
    <w:rsid w:val="005C4824"/>
    <w:rsid w:val="005C4AD9"/>
    <w:rsid w:val="005C4F4B"/>
    <w:rsid w:val="005C5913"/>
    <w:rsid w:val="005C78D4"/>
    <w:rsid w:val="005C7BFB"/>
    <w:rsid w:val="005D040F"/>
    <w:rsid w:val="005D06EF"/>
    <w:rsid w:val="005D14BD"/>
    <w:rsid w:val="005D19FC"/>
    <w:rsid w:val="005D35BC"/>
    <w:rsid w:val="005D39D1"/>
    <w:rsid w:val="005D458E"/>
    <w:rsid w:val="005D469E"/>
    <w:rsid w:val="005D4E6F"/>
    <w:rsid w:val="005D563A"/>
    <w:rsid w:val="005D5F56"/>
    <w:rsid w:val="005D7719"/>
    <w:rsid w:val="005D7AEA"/>
    <w:rsid w:val="005E02AF"/>
    <w:rsid w:val="005E0F73"/>
    <w:rsid w:val="005E11F6"/>
    <w:rsid w:val="005E1749"/>
    <w:rsid w:val="005E493A"/>
    <w:rsid w:val="005E4DAC"/>
    <w:rsid w:val="005E50EE"/>
    <w:rsid w:val="005E59D1"/>
    <w:rsid w:val="005E6001"/>
    <w:rsid w:val="005E75A2"/>
    <w:rsid w:val="005F009E"/>
    <w:rsid w:val="005F03D5"/>
    <w:rsid w:val="005F10F9"/>
    <w:rsid w:val="005F1131"/>
    <w:rsid w:val="005F2750"/>
    <w:rsid w:val="005F293E"/>
    <w:rsid w:val="005F2C76"/>
    <w:rsid w:val="005F2D52"/>
    <w:rsid w:val="005F42BC"/>
    <w:rsid w:val="005F67BE"/>
    <w:rsid w:val="005F7070"/>
    <w:rsid w:val="005F708E"/>
    <w:rsid w:val="005F7241"/>
    <w:rsid w:val="005F76E7"/>
    <w:rsid w:val="005F7F59"/>
    <w:rsid w:val="006003C0"/>
    <w:rsid w:val="0060061E"/>
    <w:rsid w:val="00601C4F"/>
    <w:rsid w:val="0060241C"/>
    <w:rsid w:val="00602E32"/>
    <w:rsid w:val="00603459"/>
    <w:rsid w:val="006037C5"/>
    <w:rsid w:val="00603E05"/>
    <w:rsid w:val="00603E50"/>
    <w:rsid w:val="006044AD"/>
    <w:rsid w:val="006048DB"/>
    <w:rsid w:val="00604D6C"/>
    <w:rsid w:val="00605F76"/>
    <w:rsid w:val="00606A27"/>
    <w:rsid w:val="00607DC4"/>
    <w:rsid w:val="006106C0"/>
    <w:rsid w:val="00610BFB"/>
    <w:rsid w:val="006114C3"/>
    <w:rsid w:val="0061155A"/>
    <w:rsid w:val="00612DC0"/>
    <w:rsid w:val="00613049"/>
    <w:rsid w:val="00613A47"/>
    <w:rsid w:val="00614C12"/>
    <w:rsid w:val="00615139"/>
    <w:rsid w:val="006163CD"/>
    <w:rsid w:val="006171FA"/>
    <w:rsid w:val="00621844"/>
    <w:rsid w:val="0062256D"/>
    <w:rsid w:val="00622CB3"/>
    <w:rsid w:val="00623F3F"/>
    <w:rsid w:val="00624014"/>
    <w:rsid w:val="0062577F"/>
    <w:rsid w:val="00625879"/>
    <w:rsid w:val="00626BC9"/>
    <w:rsid w:val="006300E6"/>
    <w:rsid w:val="006312DD"/>
    <w:rsid w:val="00632816"/>
    <w:rsid w:val="0063341B"/>
    <w:rsid w:val="00634807"/>
    <w:rsid w:val="006357BB"/>
    <w:rsid w:val="00635C1D"/>
    <w:rsid w:val="00635C27"/>
    <w:rsid w:val="00635E55"/>
    <w:rsid w:val="00635EED"/>
    <w:rsid w:val="00636090"/>
    <w:rsid w:val="0063742C"/>
    <w:rsid w:val="0064114C"/>
    <w:rsid w:val="00641B3D"/>
    <w:rsid w:val="00641ED5"/>
    <w:rsid w:val="00641F42"/>
    <w:rsid w:val="00642D9B"/>
    <w:rsid w:val="00643929"/>
    <w:rsid w:val="00644789"/>
    <w:rsid w:val="00644D1A"/>
    <w:rsid w:val="00645657"/>
    <w:rsid w:val="00646F08"/>
    <w:rsid w:val="006472E0"/>
    <w:rsid w:val="0064755E"/>
    <w:rsid w:val="006479A6"/>
    <w:rsid w:val="00647BC8"/>
    <w:rsid w:val="0065070A"/>
    <w:rsid w:val="006508CC"/>
    <w:rsid w:val="00650F3C"/>
    <w:rsid w:val="006516E1"/>
    <w:rsid w:val="00651824"/>
    <w:rsid w:val="0065198D"/>
    <w:rsid w:val="00651C97"/>
    <w:rsid w:val="006566DC"/>
    <w:rsid w:val="00656AD5"/>
    <w:rsid w:val="006573B1"/>
    <w:rsid w:val="006603D8"/>
    <w:rsid w:val="00660C76"/>
    <w:rsid w:val="0066197D"/>
    <w:rsid w:val="00661B8B"/>
    <w:rsid w:val="00662601"/>
    <w:rsid w:val="006627E5"/>
    <w:rsid w:val="00663365"/>
    <w:rsid w:val="00664519"/>
    <w:rsid w:val="00664CF5"/>
    <w:rsid w:val="00664FD4"/>
    <w:rsid w:val="00666377"/>
    <w:rsid w:val="0066661F"/>
    <w:rsid w:val="006672EA"/>
    <w:rsid w:val="006676AE"/>
    <w:rsid w:val="00671F61"/>
    <w:rsid w:val="00672631"/>
    <w:rsid w:val="00674941"/>
    <w:rsid w:val="00675054"/>
    <w:rsid w:val="00675963"/>
    <w:rsid w:val="00680941"/>
    <w:rsid w:val="0068182D"/>
    <w:rsid w:val="00681D01"/>
    <w:rsid w:val="006820BB"/>
    <w:rsid w:val="006826FA"/>
    <w:rsid w:val="00682BA8"/>
    <w:rsid w:val="006833B8"/>
    <w:rsid w:val="0068341F"/>
    <w:rsid w:val="0068350B"/>
    <w:rsid w:val="00683652"/>
    <w:rsid w:val="00684DB8"/>
    <w:rsid w:val="006863C2"/>
    <w:rsid w:val="00686E06"/>
    <w:rsid w:val="00687E8D"/>
    <w:rsid w:val="00690E52"/>
    <w:rsid w:val="0069126F"/>
    <w:rsid w:val="006913A4"/>
    <w:rsid w:val="006922D3"/>
    <w:rsid w:val="00693592"/>
    <w:rsid w:val="006935CC"/>
    <w:rsid w:val="0069364D"/>
    <w:rsid w:val="00693B31"/>
    <w:rsid w:val="00693C4A"/>
    <w:rsid w:val="0069405A"/>
    <w:rsid w:val="0069451B"/>
    <w:rsid w:val="00694C17"/>
    <w:rsid w:val="00694C4E"/>
    <w:rsid w:val="006950B4"/>
    <w:rsid w:val="0069555E"/>
    <w:rsid w:val="0069711F"/>
    <w:rsid w:val="006974C8"/>
    <w:rsid w:val="006A0519"/>
    <w:rsid w:val="006A1AFA"/>
    <w:rsid w:val="006A303C"/>
    <w:rsid w:val="006A3B4B"/>
    <w:rsid w:val="006A3DE9"/>
    <w:rsid w:val="006A4042"/>
    <w:rsid w:val="006A4436"/>
    <w:rsid w:val="006A4500"/>
    <w:rsid w:val="006A4845"/>
    <w:rsid w:val="006A4EF6"/>
    <w:rsid w:val="006A57ED"/>
    <w:rsid w:val="006A6762"/>
    <w:rsid w:val="006A700B"/>
    <w:rsid w:val="006A7157"/>
    <w:rsid w:val="006A7D1B"/>
    <w:rsid w:val="006A7F47"/>
    <w:rsid w:val="006B00C1"/>
    <w:rsid w:val="006B0BAE"/>
    <w:rsid w:val="006B0DC8"/>
    <w:rsid w:val="006B118C"/>
    <w:rsid w:val="006B1603"/>
    <w:rsid w:val="006B1658"/>
    <w:rsid w:val="006B193B"/>
    <w:rsid w:val="006B1B80"/>
    <w:rsid w:val="006B281E"/>
    <w:rsid w:val="006B2972"/>
    <w:rsid w:val="006B350A"/>
    <w:rsid w:val="006B4725"/>
    <w:rsid w:val="006B4743"/>
    <w:rsid w:val="006B53AB"/>
    <w:rsid w:val="006B6BD8"/>
    <w:rsid w:val="006B6E0E"/>
    <w:rsid w:val="006B7358"/>
    <w:rsid w:val="006C2A53"/>
    <w:rsid w:val="006C2C61"/>
    <w:rsid w:val="006C4044"/>
    <w:rsid w:val="006C4486"/>
    <w:rsid w:val="006C4784"/>
    <w:rsid w:val="006C4C4A"/>
    <w:rsid w:val="006C4D90"/>
    <w:rsid w:val="006C5131"/>
    <w:rsid w:val="006C5979"/>
    <w:rsid w:val="006C5ADE"/>
    <w:rsid w:val="006C5D3E"/>
    <w:rsid w:val="006C5E99"/>
    <w:rsid w:val="006C7061"/>
    <w:rsid w:val="006C7F56"/>
    <w:rsid w:val="006D1255"/>
    <w:rsid w:val="006D138E"/>
    <w:rsid w:val="006D1A55"/>
    <w:rsid w:val="006D1D79"/>
    <w:rsid w:val="006D226B"/>
    <w:rsid w:val="006D2B97"/>
    <w:rsid w:val="006D373A"/>
    <w:rsid w:val="006D3B5E"/>
    <w:rsid w:val="006D3FE6"/>
    <w:rsid w:val="006D450D"/>
    <w:rsid w:val="006D4553"/>
    <w:rsid w:val="006D45DA"/>
    <w:rsid w:val="006D4AEB"/>
    <w:rsid w:val="006D5982"/>
    <w:rsid w:val="006D635A"/>
    <w:rsid w:val="006D67DF"/>
    <w:rsid w:val="006D7162"/>
    <w:rsid w:val="006D7484"/>
    <w:rsid w:val="006D74C0"/>
    <w:rsid w:val="006E0D68"/>
    <w:rsid w:val="006E1312"/>
    <w:rsid w:val="006E15A9"/>
    <w:rsid w:val="006E212F"/>
    <w:rsid w:val="006E280E"/>
    <w:rsid w:val="006E32E9"/>
    <w:rsid w:val="006E3C10"/>
    <w:rsid w:val="006E3DB5"/>
    <w:rsid w:val="006E5328"/>
    <w:rsid w:val="006E5C92"/>
    <w:rsid w:val="006E64B1"/>
    <w:rsid w:val="006E6A33"/>
    <w:rsid w:val="006E6AA0"/>
    <w:rsid w:val="006F09A3"/>
    <w:rsid w:val="006F09DB"/>
    <w:rsid w:val="006F0A9F"/>
    <w:rsid w:val="006F0BE6"/>
    <w:rsid w:val="006F0DD3"/>
    <w:rsid w:val="006F19D4"/>
    <w:rsid w:val="006F1E10"/>
    <w:rsid w:val="006F1E66"/>
    <w:rsid w:val="006F2691"/>
    <w:rsid w:val="006F2A7B"/>
    <w:rsid w:val="006F2CE4"/>
    <w:rsid w:val="006F4120"/>
    <w:rsid w:val="006F4D8B"/>
    <w:rsid w:val="006F55D3"/>
    <w:rsid w:val="006F58BC"/>
    <w:rsid w:val="006F5BE4"/>
    <w:rsid w:val="006F6127"/>
    <w:rsid w:val="006F6D80"/>
    <w:rsid w:val="006F73E8"/>
    <w:rsid w:val="006F7AC5"/>
    <w:rsid w:val="007007A4"/>
    <w:rsid w:val="00700E3B"/>
    <w:rsid w:val="0070108F"/>
    <w:rsid w:val="00701201"/>
    <w:rsid w:val="007015CC"/>
    <w:rsid w:val="0070171F"/>
    <w:rsid w:val="00701EC1"/>
    <w:rsid w:val="00702037"/>
    <w:rsid w:val="00702F20"/>
    <w:rsid w:val="007037BE"/>
    <w:rsid w:val="00704030"/>
    <w:rsid w:val="0070482F"/>
    <w:rsid w:val="007049B4"/>
    <w:rsid w:val="0070516B"/>
    <w:rsid w:val="007054F5"/>
    <w:rsid w:val="00705876"/>
    <w:rsid w:val="00706F9D"/>
    <w:rsid w:val="00710A20"/>
    <w:rsid w:val="00710C92"/>
    <w:rsid w:val="00710F5F"/>
    <w:rsid w:val="007112B6"/>
    <w:rsid w:val="00712398"/>
    <w:rsid w:val="00713CD2"/>
    <w:rsid w:val="007148F8"/>
    <w:rsid w:val="00716046"/>
    <w:rsid w:val="007162D0"/>
    <w:rsid w:val="00717B8F"/>
    <w:rsid w:val="00717D59"/>
    <w:rsid w:val="0072048D"/>
    <w:rsid w:val="007219F7"/>
    <w:rsid w:val="007237A9"/>
    <w:rsid w:val="0072385B"/>
    <w:rsid w:val="00723922"/>
    <w:rsid w:val="00724E03"/>
    <w:rsid w:val="00724F88"/>
    <w:rsid w:val="0072556C"/>
    <w:rsid w:val="00725AEE"/>
    <w:rsid w:val="0072673D"/>
    <w:rsid w:val="00727CEA"/>
    <w:rsid w:val="007312C3"/>
    <w:rsid w:val="007314A5"/>
    <w:rsid w:val="00731578"/>
    <w:rsid w:val="007317C0"/>
    <w:rsid w:val="00731C31"/>
    <w:rsid w:val="00731D38"/>
    <w:rsid w:val="00732AFD"/>
    <w:rsid w:val="007334B2"/>
    <w:rsid w:val="007344CE"/>
    <w:rsid w:val="00734529"/>
    <w:rsid w:val="00735393"/>
    <w:rsid w:val="00735876"/>
    <w:rsid w:val="007359BD"/>
    <w:rsid w:val="00737842"/>
    <w:rsid w:val="007414A1"/>
    <w:rsid w:val="007428F0"/>
    <w:rsid w:val="007437EB"/>
    <w:rsid w:val="00743DC4"/>
    <w:rsid w:val="00744D39"/>
    <w:rsid w:val="007459DF"/>
    <w:rsid w:val="00745D72"/>
    <w:rsid w:val="0074632B"/>
    <w:rsid w:val="007472F4"/>
    <w:rsid w:val="00747C09"/>
    <w:rsid w:val="007507CF"/>
    <w:rsid w:val="00750CEC"/>
    <w:rsid w:val="00750E30"/>
    <w:rsid w:val="00751034"/>
    <w:rsid w:val="007524EA"/>
    <w:rsid w:val="007525F6"/>
    <w:rsid w:val="0075330B"/>
    <w:rsid w:val="0075369B"/>
    <w:rsid w:val="00754B11"/>
    <w:rsid w:val="00754C19"/>
    <w:rsid w:val="00754E28"/>
    <w:rsid w:val="00754E42"/>
    <w:rsid w:val="00757707"/>
    <w:rsid w:val="00762154"/>
    <w:rsid w:val="0076301F"/>
    <w:rsid w:val="007637B6"/>
    <w:rsid w:val="007643EF"/>
    <w:rsid w:val="0076455B"/>
    <w:rsid w:val="00764670"/>
    <w:rsid w:val="00764689"/>
    <w:rsid w:val="00766ACE"/>
    <w:rsid w:val="00766E92"/>
    <w:rsid w:val="00767048"/>
    <w:rsid w:val="0077069E"/>
    <w:rsid w:val="007706EF"/>
    <w:rsid w:val="00771090"/>
    <w:rsid w:val="00773A06"/>
    <w:rsid w:val="00773D90"/>
    <w:rsid w:val="0077437D"/>
    <w:rsid w:val="007748F2"/>
    <w:rsid w:val="00774F0D"/>
    <w:rsid w:val="007755AD"/>
    <w:rsid w:val="00775796"/>
    <w:rsid w:val="00776761"/>
    <w:rsid w:val="00776B36"/>
    <w:rsid w:val="00777D03"/>
    <w:rsid w:val="00777D33"/>
    <w:rsid w:val="00780210"/>
    <w:rsid w:val="007806EB"/>
    <w:rsid w:val="00780ABD"/>
    <w:rsid w:val="00781065"/>
    <w:rsid w:val="007815E1"/>
    <w:rsid w:val="00781757"/>
    <w:rsid w:val="00781D7B"/>
    <w:rsid w:val="00783AA9"/>
    <w:rsid w:val="00784EA1"/>
    <w:rsid w:val="0078518B"/>
    <w:rsid w:val="00785665"/>
    <w:rsid w:val="00786140"/>
    <w:rsid w:val="0078662D"/>
    <w:rsid w:val="00786C5B"/>
    <w:rsid w:val="00787330"/>
    <w:rsid w:val="0079078C"/>
    <w:rsid w:val="00790C8C"/>
    <w:rsid w:val="0079159C"/>
    <w:rsid w:val="007916A8"/>
    <w:rsid w:val="00791737"/>
    <w:rsid w:val="00794296"/>
    <w:rsid w:val="0079446D"/>
    <w:rsid w:val="007962EC"/>
    <w:rsid w:val="0079678E"/>
    <w:rsid w:val="00797E57"/>
    <w:rsid w:val="007A04AA"/>
    <w:rsid w:val="007A0DC4"/>
    <w:rsid w:val="007A1F03"/>
    <w:rsid w:val="007A33F2"/>
    <w:rsid w:val="007A46A7"/>
    <w:rsid w:val="007A46BE"/>
    <w:rsid w:val="007A4D4A"/>
    <w:rsid w:val="007A4D96"/>
    <w:rsid w:val="007A5F89"/>
    <w:rsid w:val="007A6E31"/>
    <w:rsid w:val="007A7330"/>
    <w:rsid w:val="007A7E35"/>
    <w:rsid w:val="007B03F4"/>
    <w:rsid w:val="007B1912"/>
    <w:rsid w:val="007B22A6"/>
    <w:rsid w:val="007B314A"/>
    <w:rsid w:val="007B4602"/>
    <w:rsid w:val="007B524D"/>
    <w:rsid w:val="007B77CC"/>
    <w:rsid w:val="007C0613"/>
    <w:rsid w:val="007C1623"/>
    <w:rsid w:val="007C223C"/>
    <w:rsid w:val="007C23F0"/>
    <w:rsid w:val="007C29A7"/>
    <w:rsid w:val="007C3248"/>
    <w:rsid w:val="007C3361"/>
    <w:rsid w:val="007C3F45"/>
    <w:rsid w:val="007C55A7"/>
    <w:rsid w:val="007C65FA"/>
    <w:rsid w:val="007C6BEE"/>
    <w:rsid w:val="007C7AF6"/>
    <w:rsid w:val="007C7FC4"/>
    <w:rsid w:val="007D0267"/>
    <w:rsid w:val="007D2EFB"/>
    <w:rsid w:val="007D337D"/>
    <w:rsid w:val="007D348B"/>
    <w:rsid w:val="007D3798"/>
    <w:rsid w:val="007D3D1A"/>
    <w:rsid w:val="007D43F9"/>
    <w:rsid w:val="007D4456"/>
    <w:rsid w:val="007D49BB"/>
    <w:rsid w:val="007D4BA4"/>
    <w:rsid w:val="007D4DD3"/>
    <w:rsid w:val="007D57C9"/>
    <w:rsid w:val="007D60DA"/>
    <w:rsid w:val="007D6544"/>
    <w:rsid w:val="007D7348"/>
    <w:rsid w:val="007D7451"/>
    <w:rsid w:val="007D745F"/>
    <w:rsid w:val="007D7E27"/>
    <w:rsid w:val="007E0040"/>
    <w:rsid w:val="007E1B10"/>
    <w:rsid w:val="007E20F4"/>
    <w:rsid w:val="007E219C"/>
    <w:rsid w:val="007E244C"/>
    <w:rsid w:val="007E2C65"/>
    <w:rsid w:val="007E2C6D"/>
    <w:rsid w:val="007E2EAB"/>
    <w:rsid w:val="007E44B1"/>
    <w:rsid w:val="007E4B99"/>
    <w:rsid w:val="007E58B9"/>
    <w:rsid w:val="007E78DD"/>
    <w:rsid w:val="007E7A97"/>
    <w:rsid w:val="007E7D68"/>
    <w:rsid w:val="007F027E"/>
    <w:rsid w:val="007F069C"/>
    <w:rsid w:val="007F0700"/>
    <w:rsid w:val="007F18E5"/>
    <w:rsid w:val="007F1B2A"/>
    <w:rsid w:val="007F219C"/>
    <w:rsid w:val="007F25F5"/>
    <w:rsid w:val="007F29E7"/>
    <w:rsid w:val="007F2BFC"/>
    <w:rsid w:val="007F2DD7"/>
    <w:rsid w:val="007F31C4"/>
    <w:rsid w:val="007F3617"/>
    <w:rsid w:val="007F39B5"/>
    <w:rsid w:val="007F4C35"/>
    <w:rsid w:val="007F52B1"/>
    <w:rsid w:val="007F633A"/>
    <w:rsid w:val="007F63C2"/>
    <w:rsid w:val="007F6435"/>
    <w:rsid w:val="007F690A"/>
    <w:rsid w:val="007F7747"/>
    <w:rsid w:val="007F7A0E"/>
    <w:rsid w:val="007F7EDA"/>
    <w:rsid w:val="008001DC"/>
    <w:rsid w:val="00800246"/>
    <w:rsid w:val="008006A5"/>
    <w:rsid w:val="00800B86"/>
    <w:rsid w:val="0080134C"/>
    <w:rsid w:val="008013B1"/>
    <w:rsid w:val="00801B70"/>
    <w:rsid w:val="008021CE"/>
    <w:rsid w:val="00802857"/>
    <w:rsid w:val="008031FB"/>
    <w:rsid w:val="00803BB1"/>
    <w:rsid w:val="00803D60"/>
    <w:rsid w:val="008048E3"/>
    <w:rsid w:val="00804D77"/>
    <w:rsid w:val="00805706"/>
    <w:rsid w:val="00805CE0"/>
    <w:rsid w:val="008072EC"/>
    <w:rsid w:val="00807C2E"/>
    <w:rsid w:val="00807DB2"/>
    <w:rsid w:val="00811BE7"/>
    <w:rsid w:val="00812435"/>
    <w:rsid w:val="008129B1"/>
    <w:rsid w:val="008137A8"/>
    <w:rsid w:val="008148D7"/>
    <w:rsid w:val="00814F78"/>
    <w:rsid w:val="0081652F"/>
    <w:rsid w:val="00817111"/>
    <w:rsid w:val="0082032F"/>
    <w:rsid w:val="008211A0"/>
    <w:rsid w:val="0082127E"/>
    <w:rsid w:val="00821284"/>
    <w:rsid w:val="008214D2"/>
    <w:rsid w:val="00821965"/>
    <w:rsid w:val="0082261C"/>
    <w:rsid w:val="00822CED"/>
    <w:rsid w:val="0082444D"/>
    <w:rsid w:val="008246F6"/>
    <w:rsid w:val="00825FDF"/>
    <w:rsid w:val="00826022"/>
    <w:rsid w:val="00827509"/>
    <w:rsid w:val="00831162"/>
    <w:rsid w:val="00831AF3"/>
    <w:rsid w:val="00831B16"/>
    <w:rsid w:val="00831EF8"/>
    <w:rsid w:val="00832010"/>
    <w:rsid w:val="00832523"/>
    <w:rsid w:val="0083292D"/>
    <w:rsid w:val="0083336D"/>
    <w:rsid w:val="00834813"/>
    <w:rsid w:val="00835189"/>
    <w:rsid w:val="008353F5"/>
    <w:rsid w:val="008354A4"/>
    <w:rsid w:val="008357FD"/>
    <w:rsid w:val="00835F74"/>
    <w:rsid w:val="00836D38"/>
    <w:rsid w:val="00836E78"/>
    <w:rsid w:val="00837870"/>
    <w:rsid w:val="00837D85"/>
    <w:rsid w:val="00837DCF"/>
    <w:rsid w:val="008410FB"/>
    <w:rsid w:val="0084200C"/>
    <w:rsid w:val="00842417"/>
    <w:rsid w:val="00843150"/>
    <w:rsid w:val="008435AF"/>
    <w:rsid w:val="008438A3"/>
    <w:rsid w:val="00843EDC"/>
    <w:rsid w:val="008440DE"/>
    <w:rsid w:val="008444EC"/>
    <w:rsid w:val="008448E2"/>
    <w:rsid w:val="0084506E"/>
    <w:rsid w:val="00845E4C"/>
    <w:rsid w:val="00847071"/>
    <w:rsid w:val="008477FD"/>
    <w:rsid w:val="00850415"/>
    <w:rsid w:val="00850FFB"/>
    <w:rsid w:val="00851D4E"/>
    <w:rsid w:val="00851EE5"/>
    <w:rsid w:val="00852520"/>
    <w:rsid w:val="00852CC8"/>
    <w:rsid w:val="0085747B"/>
    <w:rsid w:val="00860E5E"/>
    <w:rsid w:val="00861656"/>
    <w:rsid w:val="00861821"/>
    <w:rsid w:val="00861FAA"/>
    <w:rsid w:val="008623C5"/>
    <w:rsid w:val="0086263C"/>
    <w:rsid w:val="008629D2"/>
    <w:rsid w:val="008646F6"/>
    <w:rsid w:val="0086502B"/>
    <w:rsid w:val="008670ED"/>
    <w:rsid w:val="008675E4"/>
    <w:rsid w:val="0087018D"/>
    <w:rsid w:val="00871247"/>
    <w:rsid w:val="00871347"/>
    <w:rsid w:val="0087260E"/>
    <w:rsid w:val="00872841"/>
    <w:rsid w:val="008734A8"/>
    <w:rsid w:val="00874158"/>
    <w:rsid w:val="00876B58"/>
    <w:rsid w:val="00876D63"/>
    <w:rsid w:val="008770D4"/>
    <w:rsid w:val="00877DEB"/>
    <w:rsid w:val="00880F8D"/>
    <w:rsid w:val="00881399"/>
    <w:rsid w:val="0088263A"/>
    <w:rsid w:val="008827C3"/>
    <w:rsid w:val="00882ADB"/>
    <w:rsid w:val="00882BED"/>
    <w:rsid w:val="00882F6D"/>
    <w:rsid w:val="00883819"/>
    <w:rsid w:val="0088408E"/>
    <w:rsid w:val="0088468A"/>
    <w:rsid w:val="008849DA"/>
    <w:rsid w:val="0088509D"/>
    <w:rsid w:val="00885210"/>
    <w:rsid w:val="00885765"/>
    <w:rsid w:val="00885BB0"/>
    <w:rsid w:val="00885CBD"/>
    <w:rsid w:val="00886CE5"/>
    <w:rsid w:val="00886D14"/>
    <w:rsid w:val="00887508"/>
    <w:rsid w:val="00887617"/>
    <w:rsid w:val="008906AE"/>
    <w:rsid w:val="00891103"/>
    <w:rsid w:val="00891698"/>
    <w:rsid w:val="00892AB2"/>
    <w:rsid w:val="00893593"/>
    <w:rsid w:val="008936FF"/>
    <w:rsid w:val="008944EA"/>
    <w:rsid w:val="008944EC"/>
    <w:rsid w:val="00895F29"/>
    <w:rsid w:val="008963B5"/>
    <w:rsid w:val="008966C0"/>
    <w:rsid w:val="008967EF"/>
    <w:rsid w:val="008978F5"/>
    <w:rsid w:val="008A006C"/>
    <w:rsid w:val="008A0150"/>
    <w:rsid w:val="008A0467"/>
    <w:rsid w:val="008A14EC"/>
    <w:rsid w:val="008A155E"/>
    <w:rsid w:val="008A215E"/>
    <w:rsid w:val="008A28D0"/>
    <w:rsid w:val="008A3287"/>
    <w:rsid w:val="008A4ABF"/>
    <w:rsid w:val="008A61AE"/>
    <w:rsid w:val="008A6AC6"/>
    <w:rsid w:val="008A6ED2"/>
    <w:rsid w:val="008A71E2"/>
    <w:rsid w:val="008A7B52"/>
    <w:rsid w:val="008A7C09"/>
    <w:rsid w:val="008B1432"/>
    <w:rsid w:val="008B17E4"/>
    <w:rsid w:val="008B2EBA"/>
    <w:rsid w:val="008B3B10"/>
    <w:rsid w:val="008B4218"/>
    <w:rsid w:val="008B595C"/>
    <w:rsid w:val="008C0B63"/>
    <w:rsid w:val="008C0B7D"/>
    <w:rsid w:val="008C1032"/>
    <w:rsid w:val="008C127C"/>
    <w:rsid w:val="008C1376"/>
    <w:rsid w:val="008C1410"/>
    <w:rsid w:val="008C1B67"/>
    <w:rsid w:val="008C39CE"/>
    <w:rsid w:val="008C3A31"/>
    <w:rsid w:val="008C3C38"/>
    <w:rsid w:val="008C3D77"/>
    <w:rsid w:val="008C412B"/>
    <w:rsid w:val="008C476C"/>
    <w:rsid w:val="008C544D"/>
    <w:rsid w:val="008C63E0"/>
    <w:rsid w:val="008C664A"/>
    <w:rsid w:val="008C692C"/>
    <w:rsid w:val="008C7050"/>
    <w:rsid w:val="008D0884"/>
    <w:rsid w:val="008D1719"/>
    <w:rsid w:val="008D1AAF"/>
    <w:rsid w:val="008D2F9C"/>
    <w:rsid w:val="008D3240"/>
    <w:rsid w:val="008D3248"/>
    <w:rsid w:val="008D3990"/>
    <w:rsid w:val="008D3AF5"/>
    <w:rsid w:val="008D3FBC"/>
    <w:rsid w:val="008D4013"/>
    <w:rsid w:val="008D40B7"/>
    <w:rsid w:val="008D6EFC"/>
    <w:rsid w:val="008D72E0"/>
    <w:rsid w:val="008E01B0"/>
    <w:rsid w:val="008E1A01"/>
    <w:rsid w:val="008E2D52"/>
    <w:rsid w:val="008E2F30"/>
    <w:rsid w:val="008E417A"/>
    <w:rsid w:val="008E54CE"/>
    <w:rsid w:val="008E5586"/>
    <w:rsid w:val="008E5733"/>
    <w:rsid w:val="008E5796"/>
    <w:rsid w:val="008E57CB"/>
    <w:rsid w:val="008E67F7"/>
    <w:rsid w:val="008E69C4"/>
    <w:rsid w:val="008E6BF1"/>
    <w:rsid w:val="008E7160"/>
    <w:rsid w:val="008E77AB"/>
    <w:rsid w:val="008E77C0"/>
    <w:rsid w:val="008F081A"/>
    <w:rsid w:val="008F0C05"/>
    <w:rsid w:val="008F10B4"/>
    <w:rsid w:val="008F1424"/>
    <w:rsid w:val="008F239C"/>
    <w:rsid w:val="008F2BF5"/>
    <w:rsid w:val="008F2EAF"/>
    <w:rsid w:val="008F3D8C"/>
    <w:rsid w:val="008F4571"/>
    <w:rsid w:val="008F4B56"/>
    <w:rsid w:val="008F5292"/>
    <w:rsid w:val="008F5C6D"/>
    <w:rsid w:val="008F5EF5"/>
    <w:rsid w:val="00901E7F"/>
    <w:rsid w:val="00902A35"/>
    <w:rsid w:val="009039B4"/>
    <w:rsid w:val="00904341"/>
    <w:rsid w:val="0090606A"/>
    <w:rsid w:val="00906307"/>
    <w:rsid w:val="009072F3"/>
    <w:rsid w:val="009078C3"/>
    <w:rsid w:val="00910892"/>
    <w:rsid w:val="00911F11"/>
    <w:rsid w:val="0091278F"/>
    <w:rsid w:val="00912B8E"/>
    <w:rsid w:val="00912D7A"/>
    <w:rsid w:val="00913868"/>
    <w:rsid w:val="00915E9B"/>
    <w:rsid w:val="00916423"/>
    <w:rsid w:val="00920EB8"/>
    <w:rsid w:val="009211D7"/>
    <w:rsid w:val="0092147C"/>
    <w:rsid w:val="00922262"/>
    <w:rsid w:val="00922A35"/>
    <w:rsid w:val="00922E75"/>
    <w:rsid w:val="0092324D"/>
    <w:rsid w:val="00923ABB"/>
    <w:rsid w:val="00923E3D"/>
    <w:rsid w:val="00924AA4"/>
    <w:rsid w:val="00924DFB"/>
    <w:rsid w:val="009254F8"/>
    <w:rsid w:val="00925645"/>
    <w:rsid w:val="00930749"/>
    <w:rsid w:val="00930CDD"/>
    <w:rsid w:val="00930E69"/>
    <w:rsid w:val="00931B46"/>
    <w:rsid w:val="00931F16"/>
    <w:rsid w:val="00931FE4"/>
    <w:rsid w:val="0093426A"/>
    <w:rsid w:val="00934742"/>
    <w:rsid w:val="009351D8"/>
    <w:rsid w:val="009355E1"/>
    <w:rsid w:val="00935A0D"/>
    <w:rsid w:val="009366C3"/>
    <w:rsid w:val="00936BA5"/>
    <w:rsid w:val="009376F2"/>
    <w:rsid w:val="00937A8D"/>
    <w:rsid w:val="0094042D"/>
    <w:rsid w:val="00940C66"/>
    <w:rsid w:val="009411B4"/>
    <w:rsid w:val="00941264"/>
    <w:rsid w:val="00941361"/>
    <w:rsid w:val="00941A20"/>
    <w:rsid w:val="00942D68"/>
    <w:rsid w:val="009432DC"/>
    <w:rsid w:val="00944668"/>
    <w:rsid w:val="00944B7D"/>
    <w:rsid w:val="0094572F"/>
    <w:rsid w:val="00945744"/>
    <w:rsid w:val="00946A7F"/>
    <w:rsid w:val="00946EA1"/>
    <w:rsid w:val="00947055"/>
    <w:rsid w:val="00950CD9"/>
    <w:rsid w:val="00950E3C"/>
    <w:rsid w:val="00951535"/>
    <w:rsid w:val="00951B23"/>
    <w:rsid w:val="00951E65"/>
    <w:rsid w:val="0095219D"/>
    <w:rsid w:val="009530FD"/>
    <w:rsid w:val="00954CFF"/>
    <w:rsid w:val="00955DC9"/>
    <w:rsid w:val="00955DCC"/>
    <w:rsid w:val="0095642D"/>
    <w:rsid w:val="00957C37"/>
    <w:rsid w:val="0096111B"/>
    <w:rsid w:val="00961694"/>
    <w:rsid w:val="00961D68"/>
    <w:rsid w:val="0096226F"/>
    <w:rsid w:val="00962D14"/>
    <w:rsid w:val="00963114"/>
    <w:rsid w:val="00963211"/>
    <w:rsid w:val="00963273"/>
    <w:rsid w:val="0096330D"/>
    <w:rsid w:val="00963529"/>
    <w:rsid w:val="00964191"/>
    <w:rsid w:val="00964949"/>
    <w:rsid w:val="00965A78"/>
    <w:rsid w:val="00965D11"/>
    <w:rsid w:val="00966321"/>
    <w:rsid w:val="00966CBB"/>
    <w:rsid w:val="00966ECB"/>
    <w:rsid w:val="009672CA"/>
    <w:rsid w:val="00967F72"/>
    <w:rsid w:val="0097000C"/>
    <w:rsid w:val="00970080"/>
    <w:rsid w:val="0097084A"/>
    <w:rsid w:val="00971EC1"/>
    <w:rsid w:val="009721B4"/>
    <w:rsid w:val="0097330F"/>
    <w:rsid w:val="009733AF"/>
    <w:rsid w:val="009736F9"/>
    <w:rsid w:val="00974C4B"/>
    <w:rsid w:val="00976D36"/>
    <w:rsid w:val="00976F41"/>
    <w:rsid w:val="00976F84"/>
    <w:rsid w:val="00977214"/>
    <w:rsid w:val="00977CF3"/>
    <w:rsid w:val="00980251"/>
    <w:rsid w:val="009810D7"/>
    <w:rsid w:val="0098122F"/>
    <w:rsid w:val="009812A7"/>
    <w:rsid w:val="0098218E"/>
    <w:rsid w:val="00982228"/>
    <w:rsid w:val="00982695"/>
    <w:rsid w:val="00982BBF"/>
    <w:rsid w:val="00982DC7"/>
    <w:rsid w:val="00984615"/>
    <w:rsid w:val="00984D59"/>
    <w:rsid w:val="0098567B"/>
    <w:rsid w:val="009871D8"/>
    <w:rsid w:val="009900EB"/>
    <w:rsid w:val="009901ED"/>
    <w:rsid w:val="0099070B"/>
    <w:rsid w:val="0099100D"/>
    <w:rsid w:val="00991288"/>
    <w:rsid w:val="009915EF"/>
    <w:rsid w:val="009921A7"/>
    <w:rsid w:val="00995C9B"/>
    <w:rsid w:val="00996FD2"/>
    <w:rsid w:val="009976E2"/>
    <w:rsid w:val="0099794D"/>
    <w:rsid w:val="009A006E"/>
    <w:rsid w:val="009A01BC"/>
    <w:rsid w:val="009A0A1D"/>
    <w:rsid w:val="009A1887"/>
    <w:rsid w:val="009A1A36"/>
    <w:rsid w:val="009A245D"/>
    <w:rsid w:val="009A36B5"/>
    <w:rsid w:val="009A4900"/>
    <w:rsid w:val="009A5823"/>
    <w:rsid w:val="009A798A"/>
    <w:rsid w:val="009B0BF2"/>
    <w:rsid w:val="009B23C9"/>
    <w:rsid w:val="009B35B0"/>
    <w:rsid w:val="009B47B3"/>
    <w:rsid w:val="009B5091"/>
    <w:rsid w:val="009B530C"/>
    <w:rsid w:val="009B5477"/>
    <w:rsid w:val="009B5874"/>
    <w:rsid w:val="009B5BBD"/>
    <w:rsid w:val="009B5C30"/>
    <w:rsid w:val="009B78F2"/>
    <w:rsid w:val="009B7DF2"/>
    <w:rsid w:val="009C01A3"/>
    <w:rsid w:val="009C0FD7"/>
    <w:rsid w:val="009C0FDA"/>
    <w:rsid w:val="009C101B"/>
    <w:rsid w:val="009C448B"/>
    <w:rsid w:val="009C4A1E"/>
    <w:rsid w:val="009C56BC"/>
    <w:rsid w:val="009C5DEB"/>
    <w:rsid w:val="009C7DC2"/>
    <w:rsid w:val="009D0940"/>
    <w:rsid w:val="009D138D"/>
    <w:rsid w:val="009D4774"/>
    <w:rsid w:val="009D4F2E"/>
    <w:rsid w:val="009D53C9"/>
    <w:rsid w:val="009D56FD"/>
    <w:rsid w:val="009D5F63"/>
    <w:rsid w:val="009D6363"/>
    <w:rsid w:val="009D6609"/>
    <w:rsid w:val="009D68C2"/>
    <w:rsid w:val="009D6AFB"/>
    <w:rsid w:val="009E147B"/>
    <w:rsid w:val="009E2339"/>
    <w:rsid w:val="009E36E8"/>
    <w:rsid w:val="009E3DE7"/>
    <w:rsid w:val="009E3DFE"/>
    <w:rsid w:val="009E4508"/>
    <w:rsid w:val="009E469D"/>
    <w:rsid w:val="009E47CC"/>
    <w:rsid w:val="009E4FC2"/>
    <w:rsid w:val="009E547B"/>
    <w:rsid w:val="009E590E"/>
    <w:rsid w:val="009E620C"/>
    <w:rsid w:val="009E6591"/>
    <w:rsid w:val="009E6B65"/>
    <w:rsid w:val="009E7A6A"/>
    <w:rsid w:val="009E7C71"/>
    <w:rsid w:val="009F0CF0"/>
    <w:rsid w:val="009F0F60"/>
    <w:rsid w:val="009F1384"/>
    <w:rsid w:val="009F5FFF"/>
    <w:rsid w:val="009F6179"/>
    <w:rsid w:val="009F6ECD"/>
    <w:rsid w:val="009F7ACF"/>
    <w:rsid w:val="00A002A9"/>
    <w:rsid w:val="00A00634"/>
    <w:rsid w:val="00A00860"/>
    <w:rsid w:val="00A010F6"/>
    <w:rsid w:val="00A029FC"/>
    <w:rsid w:val="00A02CA3"/>
    <w:rsid w:val="00A03536"/>
    <w:rsid w:val="00A039F2"/>
    <w:rsid w:val="00A041C7"/>
    <w:rsid w:val="00A05EC3"/>
    <w:rsid w:val="00A0683B"/>
    <w:rsid w:val="00A0684A"/>
    <w:rsid w:val="00A073FC"/>
    <w:rsid w:val="00A07DD7"/>
    <w:rsid w:val="00A100DD"/>
    <w:rsid w:val="00A11A9E"/>
    <w:rsid w:val="00A13197"/>
    <w:rsid w:val="00A13A8F"/>
    <w:rsid w:val="00A1447D"/>
    <w:rsid w:val="00A1455F"/>
    <w:rsid w:val="00A14793"/>
    <w:rsid w:val="00A14A1C"/>
    <w:rsid w:val="00A15C13"/>
    <w:rsid w:val="00A15E96"/>
    <w:rsid w:val="00A164F3"/>
    <w:rsid w:val="00A165EE"/>
    <w:rsid w:val="00A16FCC"/>
    <w:rsid w:val="00A17009"/>
    <w:rsid w:val="00A1745E"/>
    <w:rsid w:val="00A1748B"/>
    <w:rsid w:val="00A17C4C"/>
    <w:rsid w:val="00A20A98"/>
    <w:rsid w:val="00A21411"/>
    <w:rsid w:val="00A227A1"/>
    <w:rsid w:val="00A23153"/>
    <w:rsid w:val="00A24440"/>
    <w:rsid w:val="00A25A0A"/>
    <w:rsid w:val="00A25CDD"/>
    <w:rsid w:val="00A27249"/>
    <w:rsid w:val="00A27B70"/>
    <w:rsid w:val="00A3101E"/>
    <w:rsid w:val="00A31BC9"/>
    <w:rsid w:val="00A31DA7"/>
    <w:rsid w:val="00A32530"/>
    <w:rsid w:val="00A331D4"/>
    <w:rsid w:val="00A334C5"/>
    <w:rsid w:val="00A33585"/>
    <w:rsid w:val="00A33CF0"/>
    <w:rsid w:val="00A34274"/>
    <w:rsid w:val="00A34BBE"/>
    <w:rsid w:val="00A34D2B"/>
    <w:rsid w:val="00A352E7"/>
    <w:rsid w:val="00A37FBC"/>
    <w:rsid w:val="00A4076D"/>
    <w:rsid w:val="00A40898"/>
    <w:rsid w:val="00A40A2D"/>
    <w:rsid w:val="00A41780"/>
    <w:rsid w:val="00A42263"/>
    <w:rsid w:val="00A42460"/>
    <w:rsid w:val="00A429EA"/>
    <w:rsid w:val="00A42CF5"/>
    <w:rsid w:val="00A4319F"/>
    <w:rsid w:val="00A43D52"/>
    <w:rsid w:val="00A43FE7"/>
    <w:rsid w:val="00A44EEE"/>
    <w:rsid w:val="00A46F0F"/>
    <w:rsid w:val="00A5065A"/>
    <w:rsid w:val="00A5083E"/>
    <w:rsid w:val="00A50CD7"/>
    <w:rsid w:val="00A5112D"/>
    <w:rsid w:val="00A5276D"/>
    <w:rsid w:val="00A529B6"/>
    <w:rsid w:val="00A533BB"/>
    <w:rsid w:val="00A533E7"/>
    <w:rsid w:val="00A53949"/>
    <w:rsid w:val="00A53A43"/>
    <w:rsid w:val="00A5460F"/>
    <w:rsid w:val="00A55BEE"/>
    <w:rsid w:val="00A55FED"/>
    <w:rsid w:val="00A56A83"/>
    <w:rsid w:val="00A56FA8"/>
    <w:rsid w:val="00A57675"/>
    <w:rsid w:val="00A6032F"/>
    <w:rsid w:val="00A6095D"/>
    <w:rsid w:val="00A61777"/>
    <w:rsid w:val="00A6194A"/>
    <w:rsid w:val="00A61DCD"/>
    <w:rsid w:val="00A63218"/>
    <w:rsid w:val="00A65174"/>
    <w:rsid w:val="00A653B8"/>
    <w:rsid w:val="00A6591F"/>
    <w:rsid w:val="00A659EC"/>
    <w:rsid w:val="00A6608F"/>
    <w:rsid w:val="00A66F32"/>
    <w:rsid w:val="00A7027E"/>
    <w:rsid w:val="00A702AC"/>
    <w:rsid w:val="00A70698"/>
    <w:rsid w:val="00A70AFE"/>
    <w:rsid w:val="00A70C76"/>
    <w:rsid w:val="00A719FE"/>
    <w:rsid w:val="00A73D37"/>
    <w:rsid w:val="00A74240"/>
    <w:rsid w:val="00A746F5"/>
    <w:rsid w:val="00A74BC3"/>
    <w:rsid w:val="00A8025B"/>
    <w:rsid w:val="00A803B5"/>
    <w:rsid w:val="00A80F33"/>
    <w:rsid w:val="00A818E3"/>
    <w:rsid w:val="00A83218"/>
    <w:rsid w:val="00A836DD"/>
    <w:rsid w:val="00A83929"/>
    <w:rsid w:val="00A84340"/>
    <w:rsid w:val="00A85D42"/>
    <w:rsid w:val="00A8617D"/>
    <w:rsid w:val="00A865C8"/>
    <w:rsid w:val="00A87199"/>
    <w:rsid w:val="00A87E30"/>
    <w:rsid w:val="00A91BB5"/>
    <w:rsid w:val="00A9274B"/>
    <w:rsid w:val="00A92A90"/>
    <w:rsid w:val="00A92D10"/>
    <w:rsid w:val="00A934DC"/>
    <w:rsid w:val="00A935A2"/>
    <w:rsid w:val="00A94A81"/>
    <w:rsid w:val="00A956A7"/>
    <w:rsid w:val="00A9672A"/>
    <w:rsid w:val="00AA0F7E"/>
    <w:rsid w:val="00AA2581"/>
    <w:rsid w:val="00AA2908"/>
    <w:rsid w:val="00AA2A97"/>
    <w:rsid w:val="00AA2F7D"/>
    <w:rsid w:val="00AA3D5C"/>
    <w:rsid w:val="00AA47FE"/>
    <w:rsid w:val="00AA4878"/>
    <w:rsid w:val="00AA5289"/>
    <w:rsid w:val="00AA580B"/>
    <w:rsid w:val="00AA6195"/>
    <w:rsid w:val="00AA647B"/>
    <w:rsid w:val="00AA6B7F"/>
    <w:rsid w:val="00AA79E3"/>
    <w:rsid w:val="00AA7B40"/>
    <w:rsid w:val="00AB03ED"/>
    <w:rsid w:val="00AB101E"/>
    <w:rsid w:val="00AB198D"/>
    <w:rsid w:val="00AB1F94"/>
    <w:rsid w:val="00AB348E"/>
    <w:rsid w:val="00AB42A4"/>
    <w:rsid w:val="00AB46DB"/>
    <w:rsid w:val="00AB5523"/>
    <w:rsid w:val="00AB692A"/>
    <w:rsid w:val="00AB7DFB"/>
    <w:rsid w:val="00AC051F"/>
    <w:rsid w:val="00AC0AD7"/>
    <w:rsid w:val="00AC0EFD"/>
    <w:rsid w:val="00AC1D07"/>
    <w:rsid w:val="00AC1DC9"/>
    <w:rsid w:val="00AC2CC2"/>
    <w:rsid w:val="00AC2E6C"/>
    <w:rsid w:val="00AC31F7"/>
    <w:rsid w:val="00AC38A1"/>
    <w:rsid w:val="00AC3D03"/>
    <w:rsid w:val="00AC49E3"/>
    <w:rsid w:val="00AC51A4"/>
    <w:rsid w:val="00AC51E8"/>
    <w:rsid w:val="00AC60DC"/>
    <w:rsid w:val="00AC7B81"/>
    <w:rsid w:val="00AC7F0A"/>
    <w:rsid w:val="00AD0B9F"/>
    <w:rsid w:val="00AD1862"/>
    <w:rsid w:val="00AD1A26"/>
    <w:rsid w:val="00AD1B6F"/>
    <w:rsid w:val="00AD213C"/>
    <w:rsid w:val="00AD2DD2"/>
    <w:rsid w:val="00AD32D5"/>
    <w:rsid w:val="00AD366E"/>
    <w:rsid w:val="00AD462E"/>
    <w:rsid w:val="00AD4F73"/>
    <w:rsid w:val="00AD6491"/>
    <w:rsid w:val="00AD6987"/>
    <w:rsid w:val="00AE0336"/>
    <w:rsid w:val="00AE1BD8"/>
    <w:rsid w:val="00AE1E75"/>
    <w:rsid w:val="00AE2444"/>
    <w:rsid w:val="00AE41DD"/>
    <w:rsid w:val="00AE5BBA"/>
    <w:rsid w:val="00AE6188"/>
    <w:rsid w:val="00AE61C4"/>
    <w:rsid w:val="00AE66DC"/>
    <w:rsid w:val="00AE68D0"/>
    <w:rsid w:val="00AE7053"/>
    <w:rsid w:val="00AF0E97"/>
    <w:rsid w:val="00AF0ECB"/>
    <w:rsid w:val="00AF1BB2"/>
    <w:rsid w:val="00AF2DA5"/>
    <w:rsid w:val="00AF4074"/>
    <w:rsid w:val="00AF4576"/>
    <w:rsid w:val="00AF4C0B"/>
    <w:rsid w:val="00AF60EA"/>
    <w:rsid w:val="00AF73E0"/>
    <w:rsid w:val="00AF74A9"/>
    <w:rsid w:val="00AF79AE"/>
    <w:rsid w:val="00AF7F43"/>
    <w:rsid w:val="00B0126F"/>
    <w:rsid w:val="00B01567"/>
    <w:rsid w:val="00B01A97"/>
    <w:rsid w:val="00B01B26"/>
    <w:rsid w:val="00B0265A"/>
    <w:rsid w:val="00B02E36"/>
    <w:rsid w:val="00B030C4"/>
    <w:rsid w:val="00B032AE"/>
    <w:rsid w:val="00B032B2"/>
    <w:rsid w:val="00B03F21"/>
    <w:rsid w:val="00B04198"/>
    <w:rsid w:val="00B0453E"/>
    <w:rsid w:val="00B04C1E"/>
    <w:rsid w:val="00B061FB"/>
    <w:rsid w:val="00B07500"/>
    <w:rsid w:val="00B07793"/>
    <w:rsid w:val="00B10567"/>
    <w:rsid w:val="00B10C25"/>
    <w:rsid w:val="00B11351"/>
    <w:rsid w:val="00B11787"/>
    <w:rsid w:val="00B11C38"/>
    <w:rsid w:val="00B11CC7"/>
    <w:rsid w:val="00B124D0"/>
    <w:rsid w:val="00B132C1"/>
    <w:rsid w:val="00B13D92"/>
    <w:rsid w:val="00B1401D"/>
    <w:rsid w:val="00B1417A"/>
    <w:rsid w:val="00B15FF7"/>
    <w:rsid w:val="00B16563"/>
    <w:rsid w:val="00B16D36"/>
    <w:rsid w:val="00B170D1"/>
    <w:rsid w:val="00B21F81"/>
    <w:rsid w:val="00B22C05"/>
    <w:rsid w:val="00B23F6D"/>
    <w:rsid w:val="00B2436C"/>
    <w:rsid w:val="00B25291"/>
    <w:rsid w:val="00B25444"/>
    <w:rsid w:val="00B26674"/>
    <w:rsid w:val="00B26991"/>
    <w:rsid w:val="00B276F1"/>
    <w:rsid w:val="00B30BEC"/>
    <w:rsid w:val="00B30E0C"/>
    <w:rsid w:val="00B31C76"/>
    <w:rsid w:val="00B32384"/>
    <w:rsid w:val="00B3241F"/>
    <w:rsid w:val="00B32491"/>
    <w:rsid w:val="00B32E85"/>
    <w:rsid w:val="00B33AB4"/>
    <w:rsid w:val="00B3476B"/>
    <w:rsid w:val="00B34B3E"/>
    <w:rsid w:val="00B34BEC"/>
    <w:rsid w:val="00B34DE7"/>
    <w:rsid w:val="00B3548D"/>
    <w:rsid w:val="00B35FF5"/>
    <w:rsid w:val="00B360A8"/>
    <w:rsid w:val="00B364A1"/>
    <w:rsid w:val="00B368F2"/>
    <w:rsid w:val="00B37339"/>
    <w:rsid w:val="00B37871"/>
    <w:rsid w:val="00B37D37"/>
    <w:rsid w:val="00B37F65"/>
    <w:rsid w:val="00B40596"/>
    <w:rsid w:val="00B41A48"/>
    <w:rsid w:val="00B41CA2"/>
    <w:rsid w:val="00B420ED"/>
    <w:rsid w:val="00B421CF"/>
    <w:rsid w:val="00B42D42"/>
    <w:rsid w:val="00B43427"/>
    <w:rsid w:val="00B43490"/>
    <w:rsid w:val="00B43F63"/>
    <w:rsid w:val="00B446CE"/>
    <w:rsid w:val="00B4553D"/>
    <w:rsid w:val="00B45644"/>
    <w:rsid w:val="00B4664F"/>
    <w:rsid w:val="00B47070"/>
    <w:rsid w:val="00B47F71"/>
    <w:rsid w:val="00B508AA"/>
    <w:rsid w:val="00B515D7"/>
    <w:rsid w:val="00B516ED"/>
    <w:rsid w:val="00B530A3"/>
    <w:rsid w:val="00B5317A"/>
    <w:rsid w:val="00B532E0"/>
    <w:rsid w:val="00B53BD0"/>
    <w:rsid w:val="00B54591"/>
    <w:rsid w:val="00B54709"/>
    <w:rsid w:val="00B54A68"/>
    <w:rsid w:val="00B5653A"/>
    <w:rsid w:val="00B56B24"/>
    <w:rsid w:val="00B575D2"/>
    <w:rsid w:val="00B577B2"/>
    <w:rsid w:val="00B6068B"/>
    <w:rsid w:val="00B60775"/>
    <w:rsid w:val="00B60CA4"/>
    <w:rsid w:val="00B60E48"/>
    <w:rsid w:val="00B61579"/>
    <w:rsid w:val="00B61850"/>
    <w:rsid w:val="00B61D7B"/>
    <w:rsid w:val="00B62777"/>
    <w:rsid w:val="00B639CF"/>
    <w:rsid w:val="00B63DAF"/>
    <w:rsid w:val="00B64B3A"/>
    <w:rsid w:val="00B64E35"/>
    <w:rsid w:val="00B65FF7"/>
    <w:rsid w:val="00B67064"/>
    <w:rsid w:val="00B67C1F"/>
    <w:rsid w:val="00B7080E"/>
    <w:rsid w:val="00B70AA9"/>
    <w:rsid w:val="00B71C32"/>
    <w:rsid w:val="00B72EA9"/>
    <w:rsid w:val="00B73121"/>
    <w:rsid w:val="00B73186"/>
    <w:rsid w:val="00B733DF"/>
    <w:rsid w:val="00B73550"/>
    <w:rsid w:val="00B73BF9"/>
    <w:rsid w:val="00B73FC8"/>
    <w:rsid w:val="00B753E0"/>
    <w:rsid w:val="00B76BD2"/>
    <w:rsid w:val="00B76DDE"/>
    <w:rsid w:val="00B77420"/>
    <w:rsid w:val="00B809D8"/>
    <w:rsid w:val="00B8108B"/>
    <w:rsid w:val="00B81C9F"/>
    <w:rsid w:val="00B81D54"/>
    <w:rsid w:val="00B81E0B"/>
    <w:rsid w:val="00B81F5A"/>
    <w:rsid w:val="00B82510"/>
    <w:rsid w:val="00B83FBE"/>
    <w:rsid w:val="00B841DE"/>
    <w:rsid w:val="00B8420F"/>
    <w:rsid w:val="00B84281"/>
    <w:rsid w:val="00B8496C"/>
    <w:rsid w:val="00B8645E"/>
    <w:rsid w:val="00B87505"/>
    <w:rsid w:val="00B875A1"/>
    <w:rsid w:val="00B90BC8"/>
    <w:rsid w:val="00B91600"/>
    <w:rsid w:val="00B92969"/>
    <w:rsid w:val="00B930AD"/>
    <w:rsid w:val="00B936BE"/>
    <w:rsid w:val="00B93F93"/>
    <w:rsid w:val="00B94178"/>
    <w:rsid w:val="00B94746"/>
    <w:rsid w:val="00B95B24"/>
    <w:rsid w:val="00B97ACD"/>
    <w:rsid w:val="00BA003E"/>
    <w:rsid w:val="00BA00E0"/>
    <w:rsid w:val="00BA06DF"/>
    <w:rsid w:val="00BA0AEB"/>
    <w:rsid w:val="00BA1246"/>
    <w:rsid w:val="00BA2028"/>
    <w:rsid w:val="00BA2CFB"/>
    <w:rsid w:val="00BA2DD5"/>
    <w:rsid w:val="00BA2F06"/>
    <w:rsid w:val="00BA35C9"/>
    <w:rsid w:val="00BA3DA1"/>
    <w:rsid w:val="00BA45B6"/>
    <w:rsid w:val="00BA5361"/>
    <w:rsid w:val="00BA5AA0"/>
    <w:rsid w:val="00BA62DB"/>
    <w:rsid w:val="00BA69DB"/>
    <w:rsid w:val="00BA6CB6"/>
    <w:rsid w:val="00BA6CD7"/>
    <w:rsid w:val="00BA799E"/>
    <w:rsid w:val="00BB0214"/>
    <w:rsid w:val="00BB0561"/>
    <w:rsid w:val="00BB05DE"/>
    <w:rsid w:val="00BB0E18"/>
    <w:rsid w:val="00BB16A1"/>
    <w:rsid w:val="00BB1E8B"/>
    <w:rsid w:val="00BB1F1E"/>
    <w:rsid w:val="00BB2317"/>
    <w:rsid w:val="00BB3761"/>
    <w:rsid w:val="00BB42BC"/>
    <w:rsid w:val="00BB62E4"/>
    <w:rsid w:val="00BB772F"/>
    <w:rsid w:val="00BC0397"/>
    <w:rsid w:val="00BC24CB"/>
    <w:rsid w:val="00BC26BF"/>
    <w:rsid w:val="00BC31AC"/>
    <w:rsid w:val="00BC3DBB"/>
    <w:rsid w:val="00BC43BC"/>
    <w:rsid w:val="00BC57F8"/>
    <w:rsid w:val="00BC6150"/>
    <w:rsid w:val="00BC6260"/>
    <w:rsid w:val="00BC6574"/>
    <w:rsid w:val="00BC684F"/>
    <w:rsid w:val="00BC7854"/>
    <w:rsid w:val="00BD1829"/>
    <w:rsid w:val="00BD29AC"/>
    <w:rsid w:val="00BD30E9"/>
    <w:rsid w:val="00BD34A6"/>
    <w:rsid w:val="00BD46E8"/>
    <w:rsid w:val="00BD4F26"/>
    <w:rsid w:val="00BD791B"/>
    <w:rsid w:val="00BE058E"/>
    <w:rsid w:val="00BE1582"/>
    <w:rsid w:val="00BE15F6"/>
    <w:rsid w:val="00BE1FE9"/>
    <w:rsid w:val="00BE2133"/>
    <w:rsid w:val="00BE2F03"/>
    <w:rsid w:val="00BE3191"/>
    <w:rsid w:val="00BE3411"/>
    <w:rsid w:val="00BE3640"/>
    <w:rsid w:val="00BE3898"/>
    <w:rsid w:val="00BE3C4F"/>
    <w:rsid w:val="00BE4230"/>
    <w:rsid w:val="00BE6E25"/>
    <w:rsid w:val="00BE785C"/>
    <w:rsid w:val="00BF1786"/>
    <w:rsid w:val="00BF1BA5"/>
    <w:rsid w:val="00BF1C8F"/>
    <w:rsid w:val="00BF20E1"/>
    <w:rsid w:val="00BF2540"/>
    <w:rsid w:val="00BF2ACD"/>
    <w:rsid w:val="00BF3917"/>
    <w:rsid w:val="00BF3C0E"/>
    <w:rsid w:val="00BF4D76"/>
    <w:rsid w:val="00BF4DD1"/>
    <w:rsid w:val="00BF5919"/>
    <w:rsid w:val="00BF62FB"/>
    <w:rsid w:val="00BF65C0"/>
    <w:rsid w:val="00BF6F52"/>
    <w:rsid w:val="00BF76C2"/>
    <w:rsid w:val="00C005BF"/>
    <w:rsid w:val="00C007D2"/>
    <w:rsid w:val="00C00A95"/>
    <w:rsid w:val="00C00B39"/>
    <w:rsid w:val="00C014BE"/>
    <w:rsid w:val="00C03402"/>
    <w:rsid w:val="00C03414"/>
    <w:rsid w:val="00C03972"/>
    <w:rsid w:val="00C03B5F"/>
    <w:rsid w:val="00C041BC"/>
    <w:rsid w:val="00C045EB"/>
    <w:rsid w:val="00C051CB"/>
    <w:rsid w:val="00C05468"/>
    <w:rsid w:val="00C05C45"/>
    <w:rsid w:val="00C0608B"/>
    <w:rsid w:val="00C0691F"/>
    <w:rsid w:val="00C06FA5"/>
    <w:rsid w:val="00C073E3"/>
    <w:rsid w:val="00C07613"/>
    <w:rsid w:val="00C1004F"/>
    <w:rsid w:val="00C10392"/>
    <w:rsid w:val="00C10FE6"/>
    <w:rsid w:val="00C11147"/>
    <w:rsid w:val="00C111A3"/>
    <w:rsid w:val="00C115E7"/>
    <w:rsid w:val="00C118CE"/>
    <w:rsid w:val="00C11A80"/>
    <w:rsid w:val="00C12084"/>
    <w:rsid w:val="00C122AE"/>
    <w:rsid w:val="00C12394"/>
    <w:rsid w:val="00C12C0C"/>
    <w:rsid w:val="00C13065"/>
    <w:rsid w:val="00C135E8"/>
    <w:rsid w:val="00C1394C"/>
    <w:rsid w:val="00C13A8E"/>
    <w:rsid w:val="00C13AAF"/>
    <w:rsid w:val="00C13C5A"/>
    <w:rsid w:val="00C144B5"/>
    <w:rsid w:val="00C14795"/>
    <w:rsid w:val="00C1571C"/>
    <w:rsid w:val="00C162F4"/>
    <w:rsid w:val="00C163FA"/>
    <w:rsid w:val="00C16658"/>
    <w:rsid w:val="00C16E96"/>
    <w:rsid w:val="00C20B91"/>
    <w:rsid w:val="00C2109A"/>
    <w:rsid w:val="00C212FB"/>
    <w:rsid w:val="00C217F1"/>
    <w:rsid w:val="00C23EA3"/>
    <w:rsid w:val="00C23ECD"/>
    <w:rsid w:val="00C23EE8"/>
    <w:rsid w:val="00C24591"/>
    <w:rsid w:val="00C268E5"/>
    <w:rsid w:val="00C26DE0"/>
    <w:rsid w:val="00C272F6"/>
    <w:rsid w:val="00C27BF3"/>
    <w:rsid w:val="00C27C67"/>
    <w:rsid w:val="00C27D40"/>
    <w:rsid w:val="00C300C5"/>
    <w:rsid w:val="00C30FB3"/>
    <w:rsid w:val="00C312CB"/>
    <w:rsid w:val="00C31707"/>
    <w:rsid w:val="00C31935"/>
    <w:rsid w:val="00C319C5"/>
    <w:rsid w:val="00C32429"/>
    <w:rsid w:val="00C329B4"/>
    <w:rsid w:val="00C33080"/>
    <w:rsid w:val="00C33723"/>
    <w:rsid w:val="00C338AA"/>
    <w:rsid w:val="00C33B30"/>
    <w:rsid w:val="00C33F66"/>
    <w:rsid w:val="00C342F7"/>
    <w:rsid w:val="00C35A0E"/>
    <w:rsid w:val="00C36A73"/>
    <w:rsid w:val="00C37ADC"/>
    <w:rsid w:val="00C416AE"/>
    <w:rsid w:val="00C41A03"/>
    <w:rsid w:val="00C4283A"/>
    <w:rsid w:val="00C434F0"/>
    <w:rsid w:val="00C441BC"/>
    <w:rsid w:val="00C450D4"/>
    <w:rsid w:val="00C45C16"/>
    <w:rsid w:val="00C46D7B"/>
    <w:rsid w:val="00C478C6"/>
    <w:rsid w:val="00C5157A"/>
    <w:rsid w:val="00C515ED"/>
    <w:rsid w:val="00C51924"/>
    <w:rsid w:val="00C5309F"/>
    <w:rsid w:val="00C53D39"/>
    <w:rsid w:val="00C54100"/>
    <w:rsid w:val="00C5527B"/>
    <w:rsid w:val="00C55426"/>
    <w:rsid w:val="00C558FD"/>
    <w:rsid w:val="00C55BE9"/>
    <w:rsid w:val="00C56CA7"/>
    <w:rsid w:val="00C56D64"/>
    <w:rsid w:val="00C5797A"/>
    <w:rsid w:val="00C57AB1"/>
    <w:rsid w:val="00C57F4D"/>
    <w:rsid w:val="00C6020E"/>
    <w:rsid w:val="00C60C75"/>
    <w:rsid w:val="00C61DAF"/>
    <w:rsid w:val="00C63070"/>
    <w:rsid w:val="00C6319E"/>
    <w:rsid w:val="00C63317"/>
    <w:rsid w:val="00C6438A"/>
    <w:rsid w:val="00C65661"/>
    <w:rsid w:val="00C65689"/>
    <w:rsid w:val="00C664B2"/>
    <w:rsid w:val="00C7061D"/>
    <w:rsid w:val="00C721D6"/>
    <w:rsid w:val="00C72249"/>
    <w:rsid w:val="00C72799"/>
    <w:rsid w:val="00C74580"/>
    <w:rsid w:val="00C77797"/>
    <w:rsid w:val="00C77DEF"/>
    <w:rsid w:val="00C807A9"/>
    <w:rsid w:val="00C8087B"/>
    <w:rsid w:val="00C82169"/>
    <w:rsid w:val="00C82F41"/>
    <w:rsid w:val="00C8373F"/>
    <w:rsid w:val="00C83ED8"/>
    <w:rsid w:val="00C8408E"/>
    <w:rsid w:val="00C84487"/>
    <w:rsid w:val="00C8584D"/>
    <w:rsid w:val="00C9067F"/>
    <w:rsid w:val="00C90682"/>
    <w:rsid w:val="00C927FF"/>
    <w:rsid w:val="00C92FDD"/>
    <w:rsid w:val="00C939F7"/>
    <w:rsid w:val="00C94900"/>
    <w:rsid w:val="00C95028"/>
    <w:rsid w:val="00C95187"/>
    <w:rsid w:val="00C9546D"/>
    <w:rsid w:val="00C95C1E"/>
    <w:rsid w:val="00C96067"/>
    <w:rsid w:val="00C97311"/>
    <w:rsid w:val="00C97872"/>
    <w:rsid w:val="00CA328F"/>
    <w:rsid w:val="00CA39B0"/>
    <w:rsid w:val="00CA3CBD"/>
    <w:rsid w:val="00CA4BA9"/>
    <w:rsid w:val="00CA51E8"/>
    <w:rsid w:val="00CA55FB"/>
    <w:rsid w:val="00CA6B4C"/>
    <w:rsid w:val="00CA740F"/>
    <w:rsid w:val="00CB0CC2"/>
    <w:rsid w:val="00CB1666"/>
    <w:rsid w:val="00CB2D74"/>
    <w:rsid w:val="00CB3BD2"/>
    <w:rsid w:val="00CB3FE5"/>
    <w:rsid w:val="00CB462F"/>
    <w:rsid w:val="00CB4835"/>
    <w:rsid w:val="00CB48BF"/>
    <w:rsid w:val="00CB6600"/>
    <w:rsid w:val="00CB754B"/>
    <w:rsid w:val="00CC237A"/>
    <w:rsid w:val="00CC3033"/>
    <w:rsid w:val="00CC4538"/>
    <w:rsid w:val="00CC4587"/>
    <w:rsid w:val="00CC4762"/>
    <w:rsid w:val="00CC549A"/>
    <w:rsid w:val="00CC6856"/>
    <w:rsid w:val="00CC70B7"/>
    <w:rsid w:val="00CC7DCA"/>
    <w:rsid w:val="00CC7FAE"/>
    <w:rsid w:val="00CD0489"/>
    <w:rsid w:val="00CD0867"/>
    <w:rsid w:val="00CD31B8"/>
    <w:rsid w:val="00CD4A87"/>
    <w:rsid w:val="00CD5BC8"/>
    <w:rsid w:val="00CD68BC"/>
    <w:rsid w:val="00CD7B2C"/>
    <w:rsid w:val="00CD7E5F"/>
    <w:rsid w:val="00CE0A4B"/>
    <w:rsid w:val="00CE0F5C"/>
    <w:rsid w:val="00CE129F"/>
    <w:rsid w:val="00CE12B7"/>
    <w:rsid w:val="00CE18F0"/>
    <w:rsid w:val="00CE2346"/>
    <w:rsid w:val="00CE2662"/>
    <w:rsid w:val="00CE2689"/>
    <w:rsid w:val="00CE445F"/>
    <w:rsid w:val="00CE44C6"/>
    <w:rsid w:val="00CE4B54"/>
    <w:rsid w:val="00CE4BB0"/>
    <w:rsid w:val="00CE4C4C"/>
    <w:rsid w:val="00CE54A7"/>
    <w:rsid w:val="00CE5A3A"/>
    <w:rsid w:val="00CE5B45"/>
    <w:rsid w:val="00CE699A"/>
    <w:rsid w:val="00CE72EA"/>
    <w:rsid w:val="00CE762B"/>
    <w:rsid w:val="00CE776E"/>
    <w:rsid w:val="00CF01CC"/>
    <w:rsid w:val="00CF0ADB"/>
    <w:rsid w:val="00CF187E"/>
    <w:rsid w:val="00CF1D55"/>
    <w:rsid w:val="00CF2393"/>
    <w:rsid w:val="00CF2FC4"/>
    <w:rsid w:val="00CF305A"/>
    <w:rsid w:val="00CF3165"/>
    <w:rsid w:val="00CF34C0"/>
    <w:rsid w:val="00CF37EA"/>
    <w:rsid w:val="00CF530D"/>
    <w:rsid w:val="00CF5CEA"/>
    <w:rsid w:val="00CF684D"/>
    <w:rsid w:val="00CF6F50"/>
    <w:rsid w:val="00CF771B"/>
    <w:rsid w:val="00CF79DD"/>
    <w:rsid w:val="00CF7EA8"/>
    <w:rsid w:val="00D001E6"/>
    <w:rsid w:val="00D0026B"/>
    <w:rsid w:val="00D00301"/>
    <w:rsid w:val="00D00554"/>
    <w:rsid w:val="00D013F7"/>
    <w:rsid w:val="00D029D3"/>
    <w:rsid w:val="00D030DE"/>
    <w:rsid w:val="00D04248"/>
    <w:rsid w:val="00D04998"/>
    <w:rsid w:val="00D057FA"/>
    <w:rsid w:val="00D0604E"/>
    <w:rsid w:val="00D078B0"/>
    <w:rsid w:val="00D1018B"/>
    <w:rsid w:val="00D11C9D"/>
    <w:rsid w:val="00D12289"/>
    <w:rsid w:val="00D12BE9"/>
    <w:rsid w:val="00D13301"/>
    <w:rsid w:val="00D13552"/>
    <w:rsid w:val="00D13939"/>
    <w:rsid w:val="00D13C69"/>
    <w:rsid w:val="00D14339"/>
    <w:rsid w:val="00D148D5"/>
    <w:rsid w:val="00D17B44"/>
    <w:rsid w:val="00D20A7A"/>
    <w:rsid w:val="00D21791"/>
    <w:rsid w:val="00D22720"/>
    <w:rsid w:val="00D22E38"/>
    <w:rsid w:val="00D24AD2"/>
    <w:rsid w:val="00D25A83"/>
    <w:rsid w:val="00D267B4"/>
    <w:rsid w:val="00D267FC"/>
    <w:rsid w:val="00D2754B"/>
    <w:rsid w:val="00D310E0"/>
    <w:rsid w:val="00D3133F"/>
    <w:rsid w:val="00D319EC"/>
    <w:rsid w:val="00D319F0"/>
    <w:rsid w:val="00D31FF8"/>
    <w:rsid w:val="00D32386"/>
    <w:rsid w:val="00D32E60"/>
    <w:rsid w:val="00D335A1"/>
    <w:rsid w:val="00D3496C"/>
    <w:rsid w:val="00D349F8"/>
    <w:rsid w:val="00D34E08"/>
    <w:rsid w:val="00D34EFC"/>
    <w:rsid w:val="00D34FDA"/>
    <w:rsid w:val="00D355AA"/>
    <w:rsid w:val="00D35EE3"/>
    <w:rsid w:val="00D36381"/>
    <w:rsid w:val="00D369FE"/>
    <w:rsid w:val="00D377FF"/>
    <w:rsid w:val="00D37FDD"/>
    <w:rsid w:val="00D404C8"/>
    <w:rsid w:val="00D413A1"/>
    <w:rsid w:val="00D41578"/>
    <w:rsid w:val="00D42073"/>
    <w:rsid w:val="00D42937"/>
    <w:rsid w:val="00D42D2B"/>
    <w:rsid w:val="00D42F1B"/>
    <w:rsid w:val="00D43216"/>
    <w:rsid w:val="00D43356"/>
    <w:rsid w:val="00D44EFC"/>
    <w:rsid w:val="00D44FE9"/>
    <w:rsid w:val="00D4581E"/>
    <w:rsid w:val="00D45935"/>
    <w:rsid w:val="00D466A8"/>
    <w:rsid w:val="00D468DC"/>
    <w:rsid w:val="00D478DA"/>
    <w:rsid w:val="00D478DC"/>
    <w:rsid w:val="00D503F3"/>
    <w:rsid w:val="00D5178C"/>
    <w:rsid w:val="00D52566"/>
    <w:rsid w:val="00D525D8"/>
    <w:rsid w:val="00D53222"/>
    <w:rsid w:val="00D535FF"/>
    <w:rsid w:val="00D53A07"/>
    <w:rsid w:val="00D53DE0"/>
    <w:rsid w:val="00D54BB2"/>
    <w:rsid w:val="00D54C89"/>
    <w:rsid w:val="00D55CAF"/>
    <w:rsid w:val="00D57B97"/>
    <w:rsid w:val="00D57FA3"/>
    <w:rsid w:val="00D60669"/>
    <w:rsid w:val="00D60891"/>
    <w:rsid w:val="00D61394"/>
    <w:rsid w:val="00D617D4"/>
    <w:rsid w:val="00D622F8"/>
    <w:rsid w:val="00D624DF"/>
    <w:rsid w:val="00D62959"/>
    <w:rsid w:val="00D6310C"/>
    <w:rsid w:val="00D63362"/>
    <w:rsid w:val="00D63DE2"/>
    <w:rsid w:val="00D6458C"/>
    <w:rsid w:val="00D6518A"/>
    <w:rsid w:val="00D65A2E"/>
    <w:rsid w:val="00D660F7"/>
    <w:rsid w:val="00D67D58"/>
    <w:rsid w:val="00D7043F"/>
    <w:rsid w:val="00D71217"/>
    <w:rsid w:val="00D7168B"/>
    <w:rsid w:val="00D71921"/>
    <w:rsid w:val="00D71A53"/>
    <w:rsid w:val="00D72C48"/>
    <w:rsid w:val="00D72CA9"/>
    <w:rsid w:val="00D7440F"/>
    <w:rsid w:val="00D7473D"/>
    <w:rsid w:val="00D74C87"/>
    <w:rsid w:val="00D74C8C"/>
    <w:rsid w:val="00D755F1"/>
    <w:rsid w:val="00D75FD7"/>
    <w:rsid w:val="00D7635E"/>
    <w:rsid w:val="00D766E3"/>
    <w:rsid w:val="00D76C9A"/>
    <w:rsid w:val="00D76CA8"/>
    <w:rsid w:val="00D771BF"/>
    <w:rsid w:val="00D77969"/>
    <w:rsid w:val="00D800A4"/>
    <w:rsid w:val="00D800F0"/>
    <w:rsid w:val="00D802E3"/>
    <w:rsid w:val="00D82481"/>
    <w:rsid w:val="00D8365E"/>
    <w:rsid w:val="00D83FB4"/>
    <w:rsid w:val="00D8402F"/>
    <w:rsid w:val="00D84240"/>
    <w:rsid w:val="00D8432A"/>
    <w:rsid w:val="00D8537B"/>
    <w:rsid w:val="00D85607"/>
    <w:rsid w:val="00D876A4"/>
    <w:rsid w:val="00D87831"/>
    <w:rsid w:val="00D90684"/>
    <w:rsid w:val="00D91FC7"/>
    <w:rsid w:val="00D923F0"/>
    <w:rsid w:val="00D92566"/>
    <w:rsid w:val="00D93906"/>
    <w:rsid w:val="00D94ADC"/>
    <w:rsid w:val="00D95A41"/>
    <w:rsid w:val="00D960DE"/>
    <w:rsid w:val="00D961F3"/>
    <w:rsid w:val="00D96890"/>
    <w:rsid w:val="00D9711E"/>
    <w:rsid w:val="00D9755B"/>
    <w:rsid w:val="00D9777C"/>
    <w:rsid w:val="00D97DCC"/>
    <w:rsid w:val="00DA05AE"/>
    <w:rsid w:val="00DA0643"/>
    <w:rsid w:val="00DA1811"/>
    <w:rsid w:val="00DA215F"/>
    <w:rsid w:val="00DA2545"/>
    <w:rsid w:val="00DA2D75"/>
    <w:rsid w:val="00DA3B05"/>
    <w:rsid w:val="00DA5C1C"/>
    <w:rsid w:val="00DA6577"/>
    <w:rsid w:val="00DA6F4E"/>
    <w:rsid w:val="00DA76B0"/>
    <w:rsid w:val="00DB0151"/>
    <w:rsid w:val="00DB069F"/>
    <w:rsid w:val="00DB124A"/>
    <w:rsid w:val="00DB2FDB"/>
    <w:rsid w:val="00DB3F62"/>
    <w:rsid w:val="00DB51A3"/>
    <w:rsid w:val="00DB53CB"/>
    <w:rsid w:val="00DB5FE7"/>
    <w:rsid w:val="00DB7224"/>
    <w:rsid w:val="00DB78CD"/>
    <w:rsid w:val="00DC1683"/>
    <w:rsid w:val="00DC344C"/>
    <w:rsid w:val="00DC3473"/>
    <w:rsid w:val="00DC3D27"/>
    <w:rsid w:val="00DC4E14"/>
    <w:rsid w:val="00DC5CC9"/>
    <w:rsid w:val="00DC67A3"/>
    <w:rsid w:val="00DC68B4"/>
    <w:rsid w:val="00DC7A9D"/>
    <w:rsid w:val="00DD0411"/>
    <w:rsid w:val="00DD063C"/>
    <w:rsid w:val="00DD19CB"/>
    <w:rsid w:val="00DD29D6"/>
    <w:rsid w:val="00DD2A2B"/>
    <w:rsid w:val="00DD2A82"/>
    <w:rsid w:val="00DD3D37"/>
    <w:rsid w:val="00DD448C"/>
    <w:rsid w:val="00DD5A22"/>
    <w:rsid w:val="00DD6FE7"/>
    <w:rsid w:val="00DD754C"/>
    <w:rsid w:val="00DD78A1"/>
    <w:rsid w:val="00DD7A91"/>
    <w:rsid w:val="00DE019B"/>
    <w:rsid w:val="00DE0531"/>
    <w:rsid w:val="00DE1720"/>
    <w:rsid w:val="00DE2768"/>
    <w:rsid w:val="00DE2D4C"/>
    <w:rsid w:val="00DE4427"/>
    <w:rsid w:val="00DE454E"/>
    <w:rsid w:val="00DE45D9"/>
    <w:rsid w:val="00DE4EF0"/>
    <w:rsid w:val="00DE4FB6"/>
    <w:rsid w:val="00DE5A5C"/>
    <w:rsid w:val="00DE608C"/>
    <w:rsid w:val="00DE6CC7"/>
    <w:rsid w:val="00DE6D4A"/>
    <w:rsid w:val="00DE7605"/>
    <w:rsid w:val="00DE7632"/>
    <w:rsid w:val="00DF0329"/>
    <w:rsid w:val="00DF0D3A"/>
    <w:rsid w:val="00DF1396"/>
    <w:rsid w:val="00DF24D5"/>
    <w:rsid w:val="00DF2982"/>
    <w:rsid w:val="00DF44E5"/>
    <w:rsid w:val="00DF763C"/>
    <w:rsid w:val="00DF7783"/>
    <w:rsid w:val="00DF7A5C"/>
    <w:rsid w:val="00E01263"/>
    <w:rsid w:val="00E014C5"/>
    <w:rsid w:val="00E01859"/>
    <w:rsid w:val="00E01C3F"/>
    <w:rsid w:val="00E01E40"/>
    <w:rsid w:val="00E01F41"/>
    <w:rsid w:val="00E0352E"/>
    <w:rsid w:val="00E03B28"/>
    <w:rsid w:val="00E04060"/>
    <w:rsid w:val="00E044AF"/>
    <w:rsid w:val="00E04B93"/>
    <w:rsid w:val="00E05B9D"/>
    <w:rsid w:val="00E05BB4"/>
    <w:rsid w:val="00E05DB8"/>
    <w:rsid w:val="00E07D0F"/>
    <w:rsid w:val="00E10306"/>
    <w:rsid w:val="00E10360"/>
    <w:rsid w:val="00E10F40"/>
    <w:rsid w:val="00E13393"/>
    <w:rsid w:val="00E1455F"/>
    <w:rsid w:val="00E149D7"/>
    <w:rsid w:val="00E15007"/>
    <w:rsid w:val="00E15605"/>
    <w:rsid w:val="00E16163"/>
    <w:rsid w:val="00E17F74"/>
    <w:rsid w:val="00E204FC"/>
    <w:rsid w:val="00E20D61"/>
    <w:rsid w:val="00E21EFE"/>
    <w:rsid w:val="00E22400"/>
    <w:rsid w:val="00E22666"/>
    <w:rsid w:val="00E23072"/>
    <w:rsid w:val="00E2347C"/>
    <w:rsid w:val="00E23ECC"/>
    <w:rsid w:val="00E24EBD"/>
    <w:rsid w:val="00E2679E"/>
    <w:rsid w:val="00E267BB"/>
    <w:rsid w:val="00E26B61"/>
    <w:rsid w:val="00E26D0B"/>
    <w:rsid w:val="00E30EF5"/>
    <w:rsid w:val="00E32A0E"/>
    <w:rsid w:val="00E32D4E"/>
    <w:rsid w:val="00E32D94"/>
    <w:rsid w:val="00E33A7B"/>
    <w:rsid w:val="00E33ECC"/>
    <w:rsid w:val="00E33FCE"/>
    <w:rsid w:val="00E3400E"/>
    <w:rsid w:val="00E3413C"/>
    <w:rsid w:val="00E35F8F"/>
    <w:rsid w:val="00E3738E"/>
    <w:rsid w:val="00E37E21"/>
    <w:rsid w:val="00E40403"/>
    <w:rsid w:val="00E409F5"/>
    <w:rsid w:val="00E41812"/>
    <w:rsid w:val="00E419F5"/>
    <w:rsid w:val="00E41A5D"/>
    <w:rsid w:val="00E42E76"/>
    <w:rsid w:val="00E438CF"/>
    <w:rsid w:val="00E43C13"/>
    <w:rsid w:val="00E445C6"/>
    <w:rsid w:val="00E45916"/>
    <w:rsid w:val="00E45B87"/>
    <w:rsid w:val="00E45B95"/>
    <w:rsid w:val="00E45E5E"/>
    <w:rsid w:val="00E46A54"/>
    <w:rsid w:val="00E47056"/>
    <w:rsid w:val="00E47864"/>
    <w:rsid w:val="00E50715"/>
    <w:rsid w:val="00E50917"/>
    <w:rsid w:val="00E50946"/>
    <w:rsid w:val="00E510BB"/>
    <w:rsid w:val="00E51AF2"/>
    <w:rsid w:val="00E52C94"/>
    <w:rsid w:val="00E53FD8"/>
    <w:rsid w:val="00E54AA5"/>
    <w:rsid w:val="00E54ACB"/>
    <w:rsid w:val="00E54D01"/>
    <w:rsid w:val="00E54D6E"/>
    <w:rsid w:val="00E57293"/>
    <w:rsid w:val="00E600E7"/>
    <w:rsid w:val="00E60FED"/>
    <w:rsid w:val="00E61612"/>
    <w:rsid w:val="00E621B8"/>
    <w:rsid w:val="00E622DB"/>
    <w:rsid w:val="00E62352"/>
    <w:rsid w:val="00E629CC"/>
    <w:rsid w:val="00E64183"/>
    <w:rsid w:val="00E66434"/>
    <w:rsid w:val="00E66EA8"/>
    <w:rsid w:val="00E67E27"/>
    <w:rsid w:val="00E70D73"/>
    <w:rsid w:val="00E71B69"/>
    <w:rsid w:val="00E71F64"/>
    <w:rsid w:val="00E723FB"/>
    <w:rsid w:val="00E72644"/>
    <w:rsid w:val="00E72BAA"/>
    <w:rsid w:val="00E731EE"/>
    <w:rsid w:val="00E74155"/>
    <w:rsid w:val="00E7491C"/>
    <w:rsid w:val="00E7501F"/>
    <w:rsid w:val="00E753CF"/>
    <w:rsid w:val="00E75633"/>
    <w:rsid w:val="00E75820"/>
    <w:rsid w:val="00E7599A"/>
    <w:rsid w:val="00E75A07"/>
    <w:rsid w:val="00E75D76"/>
    <w:rsid w:val="00E75EF5"/>
    <w:rsid w:val="00E76A4C"/>
    <w:rsid w:val="00E778D5"/>
    <w:rsid w:val="00E8054F"/>
    <w:rsid w:val="00E81571"/>
    <w:rsid w:val="00E81F1D"/>
    <w:rsid w:val="00E8223F"/>
    <w:rsid w:val="00E830B2"/>
    <w:rsid w:val="00E83CE4"/>
    <w:rsid w:val="00E8497A"/>
    <w:rsid w:val="00E8504B"/>
    <w:rsid w:val="00E850FB"/>
    <w:rsid w:val="00E86DEA"/>
    <w:rsid w:val="00E9035F"/>
    <w:rsid w:val="00E90F6E"/>
    <w:rsid w:val="00E912D2"/>
    <w:rsid w:val="00E91E11"/>
    <w:rsid w:val="00E923BC"/>
    <w:rsid w:val="00E926EB"/>
    <w:rsid w:val="00E92754"/>
    <w:rsid w:val="00E928E5"/>
    <w:rsid w:val="00E92AF9"/>
    <w:rsid w:val="00E93E9C"/>
    <w:rsid w:val="00E94FA2"/>
    <w:rsid w:val="00E964D3"/>
    <w:rsid w:val="00E96B09"/>
    <w:rsid w:val="00E96ED0"/>
    <w:rsid w:val="00E96FA3"/>
    <w:rsid w:val="00E97CFF"/>
    <w:rsid w:val="00EA043E"/>
    <w:rsid w:val="00EA0A80"/>
    <w:rsid w:val="00EA1424"/>
    <w:rsid w:val="00EA2396"/>
    <w:rsid w:val="00EA2D4F"/>
    <w:rsid w:val="00EA2D60"/>
    <w:rsid w:val="00EA32B4"/>
    <w:rsid w:val="00EA3918"/>
    <w:rsid w:val="00EA4103"/>
    <w:rsid w:val="00EA47E5"/>
    <w:rsid w:val="00EA4E2B"/>
    <w:rsid w:val="00EA55B8"/>
    <w:rsid w:val="00EA6ADF"/>
    <w:rsid w:val="00EA6CA0"/>
    <w:rsid w:val="00EA7734"/>
    <w:rsid w:val="00EB018D"/>
    <w:rsid w:val="00EB046A"/>
    <w:rsid w:val="00EB07D7"/>
    <w:rsid w:val="00EB0814"/>
    <w:rsid w:val="00EB2F1D"/>
    <w:rsid w:val="00EB3543"/>
    <w:rsid w:val="00EB3773"/>
    <w:rsid w:val="00EB3863"/>
    <w:rsid w:val="00EB3B28"/>
    <w:rsid w:val="00EB40EA"/>
    <w:rsid w:val="00EB4A31"/>
    <w:rsid w:val="00EB4B04"/>
    <w:rsid w:val="00EB4C82"/>
    <w:rsid w:val="00EB5F95"/>
    <w:rsid w:val="00EB6927"/>
    <w:rsid w:val="00EB6FD9"/>
    <w:rsid w:val="00EB7894"/>
    <w:rsid w:val="00EB7FF3"/>
    <w:rsid w:val="00EC03DE"/>
    <w:rsid w:val="00EC04B4"/>
    <w:rsid w:val="00EC135E"/>
    <w:rsid w:val="00EC479B"/>
    <w:rsid w:val="00EC4F4A"/>
    <w:rsid w:val="00EC51B5"/>
    <w:rsid w:val="00EC573C"/>
    <w:rsid w:val="00EC5BFD"/>
    <w:rsid w:val="00EC6A5A"/>
    <w:rsid w:val="00EC75FA"/>
    <w:rsid w:val="00ED0135"/>
    <w:rsid w:val="00ED25E8"/>
    <w:rsid w:val="00ED309F"/>
    <w:rsid w:val="00ED3C57"/>
    <w:rsid w:val="00ED47A0"/>
    <w:rsid w:val="00ED4B3B"/>
    <w:rsid w:val="00ED5052"/>
    <w:rsid w:val="00ED6040"/>
    <w:rsid w:val="00ED65D5"/>
    <w:rsid w:val="00ED705F"/>
    <w:rsid w:val="00ED7227"/>
    <w:rsid w:val="00EE0335"/>
    <w:rsid w:val="00EE0BBA"/>
    <w:rsid w:val="00EE1A8D"/>
    <w:rsid w:val="00EE1EA4"/>
    <w:rsid w:val="00EE20DA"/>
    <w:rsid w:val="00EE2A5E"/>
    <w:rsid w:val="00EE2C97"/>
    <w:rsid w:val="00EE4A75"/>
    <w:rsid w:val="00EE5906"/>
    <w:rsid w:val="00EE5C34"/>
    <w:rsid w:val="00EE647C"/>
    <w:rsid w:val="00EE6F6F"/>
    <w:rsid w:val="00EF0276"/>
    <w:rsid w:val="00EF0679"/>
    <w:rsid w:val="00EF0D92"/>
    <w:rsid w:val="00EF0F15"/>
    <w:rsid w:val="00EF26CB"/>
    <w:rsid w:val="00EF332A"/>
    <w:rsid w:val="00EF3BCF"/>
    <w:rsid w:val="00EF3BFD"/>
    <w:rsid w:val="00EF3E56"/>
    <w:rsid w:val="00EF3E67"/>
    <w:rsid w:val="00EF3F32"/>
    <w:rsid w:val="00EF49AD"/>
    <w:rsid w:val="00EF4E4C"/>
    <w:rsid w:val="00EF52A8"/>
    <w:rsid w:val="00EF5842"/>
    <w:rsid w:val="00EF7C1C"/>
    <w:rsid w:val="00EF7C98"/>
    <w:rsid w:val="00EF7D6F"/>
    <w:rsid w:val="00F00244"/>
    <w:rsid w:val="00F0391C"/>
    <w:rsid w:val="00F047E4"/>
    <w:rsid w:val="00F04BE4"/>
    <w:rsid w:val="00F056FE"/>
    <w:rsid w:val="00F068C3"/>
    <w:rsid w:val="00F071AA"/>
    <w:rsid w:val="00F0747F"/>
    <w:rsid w:val="00F075BC"/>
    <w:rsid w:val="00F0794D"/>
    <w:rsid w:val="00F10234"/>
    <w:rsid w:val="00F107F5"/>
    <w:rsid w:val="00F10A36"/>
    <w:rsid w:val="00F11147"/>
    <w:rsid w:val="00F152B9"/>
    <w:rsid w:val="00F15BDC"/>
    <w:rsid w:val="00F16258"/>
    <w:rsid w:val="00F21E20"/>
    <w:rsid w:val="00F21EA6"/>
    <w:rsid w:val="00F23AA6"/>
    <w:rsid w:val="00F24DE6"/>
    <w:rsid w:val="00F253DD"/>
    <w:rsid w:val="00F2554D"/>
    <w:rsid w:val="00F25EFF"/>
    <w:rsid w:val="00F26D1A"/>
    <w:rsid w:val="00F302B1"/>
    <w:rsid w:val="00F30DA3"/>
    <w:rsid w:val="00F311CA"/>
    <w:rsid w:val="00F321F2"/>
    <w:rsid w:val="00F3273E"/>
    <w:rsid w:val="00F32B87"/>
    <w:rsid w:val="00F33638"/>
    <w:rsid w:val="00F34B0B"/>
    <w:rsid w:val="00F35011"/>
    <w:rsid w:val="00F35B75"/>
    <w:rsid w:val="00F361B4"/>
    <w:rsid w:val="00F365E5"/>
    <w:rsid w:val="00F378CA"/>
    <w:rsid w:val="00F401FE"/>
    <w:rsid w:val="00F403D6"/>
    <w:rsid w:val="00F40698"/>
    <w:rsid w:val="00F4253F"/>
    <w:rsid w:val="00F42986"/>
    <w:rsid w:val="00F42FF1"/>
    <w:rsid w:val="00F43D6A"/>
    <w:rsid w:val="00F443B5"/>
    <w:rsid w:val="00F444B4"/>
    <w:rsid w:val="00F449C7"/>
    <w:rsid w:val="00F44E1E"/>
    <w:rsid w:val="00F4564C"/>
    <w:rsid w:val="00F45A18"/>
    <w:rsid w:val="00F5051C"/>
    <w:rsid w:val="00F506DB"/>
    <w:rsid w:val="00F515FA"/>
    <w:rsid w:val="00F519F8"/>
    <w:rsid w:val="00F51F1F"/>
    <w:rsid w:val="00F520E9"/>
    <w:rsid w:val="00F53CB6"/>
    <w:rsid w:val="00F53DF6"/>
    <w:rsid w:val="00F5405E"/>
    <w:rsid w:val="00F5431B"/>
    <w:rsid w:val="00F55641"/>
    <w:rsid w:val="00F5580F"/>
    <w:rsid w:val="00F55AAA"/>
    <w:rsid w:val="00F565AD"/>
    <w:rsid w:val="00F56C9A"/>
    <w:rsid w:val="00F57036"/>
    <w:rsid w:val="00F577D5"/>
    <w:rsid w:val="00F57DFB"/>
    <w:rsid w:val="00F6086F"/>
    <w:rsid w:val="00F6165F"/>
    <w:rsid w:val="00F618C0"/>
    <w:rsid w:val="00F61DFE"/>
    <w:rsid w:val="00F633CA"/>
    <w:rsid w:val="00F64423"/>
    <w:rsid w:val="00F64C77"/>
    <w:rsid w:val="00F6730A"/>
    <w:rsid w:val="00F677AB"/>
    <w:rsid w:val="00F678C5"/>
    <w:rsid w:val="00F7018F"/>
    <w:rsid w:val="00F71394"/>
    <w:rsid w:val="00F71DFC"/>
    <w:rsid w:val="00F71FE5"/>
    <w:rsid w:val="00F7222F"/>
    <w:rsid w:val="00F73757"/>
    <w:rsid w:val="00F739E9"/>
    <w:rsid w:val="00F74855"/>
    <w:rsid w:val="00F755B0"/>
    <w:rsid w:val="00F77002"/>
    <w:rsid w:val="00F77B42"/>
    <w:rsid w:val="00F77BDC"/>
    <w:rsid w:val="00F80C9A"/>
    <w:rsid w:val="00F826BF"/>
    <w:rsid w:val="00F82DAA"/>
    <w:rsid w:val="00F857B6"/>
    <w:rsid w:val="00F85EA6"/>
    <w:rsid w:val="00F85F03"/>
    <w:rsid w:val="00F86ED7"/>
    <w:rsid w:val="00F8742D"/>
    <w:rsid w:val="00F877E3"/>
    <w:rsid w:val="00F90179"/>
    <w:rsid w:val="00F9141A"/>
    <w:rsid w:val="00F91538"/>
    <w:rsid w:val="00F91937"/>
    <w:rsid w:val="00F91954"/>
    <w:rsid w:val="00F93D71"/>
    <w:rsid w:val="00F93E81"/>
    <w:rsid w:val="00F9531E"/>
    <w:rsid w:val="00F95715"/>
    <w:rsid w:val="00F96493"/>
    <w:rsid w:val="00F96D45"/>
    <w:rsid w:val="00F96F08"/>
    <w:rsid w:val="00FA02EC"/>
    <w:rsid w:val="00FA0530"/>
    <w:rsid w:val="00FA0BCF"/>
    <w:rsid w:val="00FA1643"/>
    <w:rsid w:val="00FA2810"/>
    <w:rsid w:val="00FA2AFF"/>
    <w:rsid w:val="00FA4398"/>
    <w:rsid w:val="00FA5AE6"/>
    <w:rsid w:val="00FA5CBA"/>
    <w:rsid w:val="00FA75F2"/>
    <w:rsid w:val="00FA7F1B"/>
    <w:rsid w:val="00FB07F5"/>
    <w:rsid w:val="00FB0F76"/>
    <w:rsid w:val="00FB15D7"/>
    <w:rsid w:val="00FB176C"/>
    <w:rsid w:val="00FB2097"/>
    <w:rsid w:val="00FB311D"/>
    <w:rsid w:val="00FB41AB"/>
    <w:rsid w:val="00FB59BB"/>
    <w:rsid w:val="00FB7596"/>
    <w:rsid w:val="00FC05C8"/>
    <w:rsid w:val="00FC0C6E"/>
    <w:rsid w:val="00FC0E52"/>
    <w:rsid w:val="00FC1CA0"/>
    <w:rsid w:val="00FC49F9"/>
    <w:rsid w:val="00FC4F3F"/>
    <w:rsid w:val="00FC50CF"/>
    <w:rsid w:val="00FC5BF2"/>
    <w:rsid w:val="00FC6093"/>
    <w:rsid w:val="00FC63E5"/>
    <w:rsid w:val="00FC64B2"/>
    <w:rsid w:val="00FC70C1"/>
    <w:rsid w:val="00FD0E82"/>
    <w:rsid w:val="00FD11DF"/>
    <w:rsid w:val="00FD181B"/>
    <w:rsid w:val="00FD25BD"/>
    <w:rsid w:val="00FD43AC"/>
    <w:rsid w:val="00FD43D8"/>
    <w:rsid w:val="00FD518C"/>
    <w:rsid w:val="00FD5E75"/>
    <w:rsid w:val="00FD65DE"/>
    <w:rsid w:val="00FD6604"/>
    <w:rsid w:val="00FD7156"/>
    <w:rsid w:val="00FD78E6"/>
    <w:rsid w:val="00FE0648"/>
    <w:rsid w:val="00FE0801"/>
    <w:rsid w:val="00FE190A"/>
    <w:rsid w:val="00FE1C60"/>
    <w:rsid w:val="00FE1D46"/>
    <w:rsid w:val="00FE2F66"/>
    <w:rsid w:val="00FE384B"/>
    <w:rsid w:val="00FE5921"/>
    <w:rsid w:val="00FE65BB"/>
    <w:rsid w:val="00FE69EC"/>
    <w:rsid w:val="00FE7609"/>
    <w:rsid w:val="00FE7CD4"/>
    <w:rsid w:val="00FE7D1E"/>
    <w:rsid w:val="00FF0839"/>
    <w:rsid w:val="00FF0844"/>
    <w:rsid w:val="00FF0D00"/>
    <w:rsid w:val="00FF261D"/>
    <w:rsid w:val="00FF2AD4"/>
    <w:rsid w:val="00FF2D94"/>
    <w:rsid w:val="00FF3711"/>
    <w:rsid w:val="00FF3903"/>
    <w:rsid w:val="00FF4EB1"/>
    <w:rsid w:val="00FF5B59"/>
    <w:rsid w:val="00FF6880"/>
    <w:rsid w:val="00FF6B5A"/>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3BC3E"/>
  <w15:docId w15:val="{EA349BE9-3878-4D7C-A087-AEB1834B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E50"/>
    <w:pPr>
      <w:spacing w:after="240" w:line="288" w:lineRule="auto"/>
      <w:jc w:val="both"/>
    </w:pPr>
    <w:rPr>
      <w:rFonts w:cs="Simplified Arabic"/>
      <w:sz w:val="24"/>
      <w:szCs w:val="24"/>
      <w:lang w:bidi="ar-AE"/>
    </w:rPr>
  </w:style>
  <w:style w:type="paragraph" w:styleId="Heading1">
    <w:name w:val="heading 1"/>
    <w:basedOn w:val="Normal"/>
    <w:next w:val="BodyText"/>
    <w:link w:val="Heading1Char"/>
    <w:qFormat/>
    <w:rsid w:val="001C734B"/>
    <w:pPr>
      <w:numPr>
        <w:numId w:val="35"/>
      </w:numPr>
      <w:outlineLvl w:val="0"/>
    </w:pPr>
  </w:style>
  <w:style w:type="paragraph" w:styleId="Heading2">
    <w:name w:val="heading 2"/>
    <w:basedOn w:val="Normal"/>
    <w:next w:val="BodyText"/>
    <w:link w:val="Heading2Char"/>
    <w:qFormat/>
    <w:rsid w:val="001C734B"/>
    <w:pPr>
      <w:numPr>
        <w:ilvl w:val="1"/>
        <w:numId w:val="35"/>
      </w:numPr>
      <w:outlineLvl w:val="1"/>
    </w:pPr>
  </w:style>
  <w:style w:type="paragraph" w:styleId="Heading3">
    <w:name w:val="heading 3"/>
    <w:basedOn w:val="Heading2"/>
    <w:next w:val="BodyText"/>
    <w:link w:val="Heading3Char"/>
    <w:qFormat/>
    <w:rsid w:val="001C734B"/>
    <w:pPr>
      <w:numPr>
        <w:ilvl w:val="2"/>
      </w:numPr>
      <w:outlineLvl w:val="2"/>
    </w:pPr>
  </w:style>
  <w:style w:type="paragraph" w:styleId="Heading4">
    <w:name w:val="heading 4"/>
    <w:basedOn w:val="Normal"/>
    <w:next w:val="BodyText"/>
    <w:link w:val="Heading4Char"/>
    <w:qFormat/>
    <w:rsid w:val="001C734B"/>
    <w:pPr>
      <w:numPr>
        <w:ilvl w:val="3"/>
        <w:numId w:val="35"/>
      </w:numPr>
      <w:outlineLvl w:val="3"/>
    </w:pPr>
  </w:style>
  <w:style w:type="paragraph" w:styleId="Heading5">
    <w:name w:val="heading 5"/>
    <w:basedOn w:val="Normal"/>
    <w:next w:val="BodyText"/>
    <w:link w:val="Heading5Char"/>
    <w:qFormat/>
    <w:rsid w:val="001C734B"/>
    <w:pPr>
      <w:numPr>
        <w:ilvl w:val="4"/>
        <w:numId w:val="35"/>
      </w:numPr>
      <w:outlineLvl w:val="4"/>
    </w:pPr>
  </w:style>
  <w:style w:type="paragraph" w:styleId="Heading6">
    <w:name w:val="heading 6"/>
    <w:basedOn w:val="Normal"/>
    <w:next w:val="BodyText"/>
    <w:link w:val="Heading6Char"/>
    <w:qFormat/>
    <w:rsid w:val="001C734B"/>
    <w:pPr>
      <w:numPr>
        <w:ilvl w:val="5"/>
        <w:numId w:val="35"/>
      </w:numPr>
      <w:outlineLvl w:val="5"/>
    </w:pPr>
  </w:style>
  <w:style w:type="paragraph" w:styleId="Heading7">
    <w:name w:val="heading 7"/>
    <w:basedOn w:val="Normal"/>
    <w:next w:val="BodyText"/>
    <w:link w:val="Heading7Char"/>
    <w:qFormat/>
    <w:rsid w:val="001C734B"/>
    <w:pPr>
      <w:numPr>
        <w:ilvl w:val="6"/>
        <w:numId w:val="35"/>
      </w:numPr>
      <w:outlineLvl w:val="6"/>
    </w:pPr>
  </w:style>
  <w:style w:type="paragraph" w:styleId="Heading8">
    <w:name w:val="heading 8"/>
    <w:basedOn w:val="Normal"/>
    <w:next w:val="BodyText"/>
    <w:link w:val="Heading8Char"/>
    <w:qFormat/>
    <w:rsid w:val="001C734B"/>
    <w:pPr>
      <w:numPr>
        <w:ilvl w:val="7"/>
        <w:numId w:val="35"/>
      </w:numPr>
      <w:outlineLvl w:val="7"/>
    </w:pPr>
  </w:style>
  <w:style w:type="paragraph" w:styleId="Heading9">
    <w:name w:val="heading 9"/>
    <w:basedOn w:val="Normal"/>
    <w:next w:val="BodyText"/>
    <w:link w:val="Heading9Char"/>
    <w:qFormat/>
    <w:rsid w:val="001C734B"/>
    <w:pPr>
      <w:numPr>
        <w:ilvl w:val="8"/>
        <w:numId w:val="3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1C734B"/>
    <w:pPr>
      <w:spacing w:after="120"/>
      <w:ind w:left="340" w:hanging="340"/>
    </w:pPr>
    <w:rPr>
      <w:sz w:val="20"/>
      <w:szCs w:val="20"/>
    </w:rPr>
  </w:style>
  <w:style w:type="character" w:customStyle="1" w:styleId="FootnoteTextChar">
    <w:name w:val="Footnote Text Char"/>
    <w:basedOn w:val="DefaultParagraphFont"/>
    <w:link w:val="FootnoteText"/>
    <w:uiPriority w:val="1"/>
    <w:rsid w:val="00A5460F"/>
    <w:rPr>
      <w:rFonts w:cs="Simplified Arabic"/>
      <w:lang w:bidi="ar-AE"/>
    </w:rPr>
  </w:style>
  <w:style w:type="character" w:styleId="FootnoteReference">
    <w:name w:val="footnote reference"/>
    <w:basedOn w:val="DefaultParagraphFont"/>
    <w:uiPriority w:val="99"/>
    <w:rsid w:val="001C734B"/>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1C734B"/>
    <w:pPr>
      <w:spacing w:after="120"/>
      <w:ind w:left="340" w:hanging="340"/>
    </w:pPr>
    <w:rPr>
      <w:sz w:val="20"/>
      <w:szCs w:val="20"/>
    </w:rPr>
  </w:style>
  <w:style w:type="paragraph" w:customStyle="1" w:styleId="Footnote">
    <w:name w:val="Footnote"/>
    <w:basedOn w:val="FootnoteText"/>
    <w:link w:val="FootnoteChar"/>
    <w:semiHidden/>
    <w:rsid w:val="001C734B"/>
    <w:pPr>
      <w:tabs>
        <w:tab w:val="left" w:pos="340"/>
      </w:tabs>
    </w:pPr>
  </w:style>
  <w:style w:type="character" w:customStyle="1" w:styleId="FootnoteChar">
    <w:name w:val="Footnote Char"/>
    <w:basedOn w:val="FootnoteTextChar"/>
    <w:link w:val="Footnote"/>
    <w:semiHidden/>
    <w:rsid w:val="00A5460F"/>
    <w:rPr>
      <w:rFonts w:cs="Simplified Arabic"/>
      <w:lang w:bidi="ar-AE"/>
    </w:rPr>
  </w:style>
  <w:style w:type="character" w:customStyle="1" w:styleId="EndnoteTextChar">
    <w:name w:val="Endnote Text Char"/>
    <w:basedOn w:val="DefaultParagraphFont"/>
    <w:link w:val="EndnoteText"/>
    <w:uiPriority w:val="1"/>
    <w:rsid w:val="00A5460F"/>
    <w:rPr>
      <w:rFonts w:cs="Simplified Arabic"/>
      <w:lang w:bidi="ar-AE"/>
    </w:rPr>
  </w:style>
  <w:style w:type="character" w:styleId="EndnoteReference">
    <w:name w:val="endnote reference"/>
    <w:basedOn w:val="DefaultParagraphFont"/>
    <w:uiPriority w:val="99"/>
    <w:qFormat/>
    <w:rsid w:val="001C734B"/>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semiHidden/>
    <w:rsid w:val="001C05C2"/>
    <w:rPr>
      <w:rFonts w:cs="Simplified Arabic"/>
      <w:sz w:val="24"/>
      <w:szCs w:val="24"/>
      <w:lang w:bidi="ar-AE"/>
    </w:rPr>
  </w:style>
  <w:style w:type="paragraph" w:customStyle="1" w:styleId="Endnote">
    <w:name w:val="Endnote"/>
    <w:basedOn w:val="EndnoteText"/>
    <w:link w:val="EndnoteChar"/>
    <w:semiHidden/>
    <w:qFormat/>
    <w:rsid w:val="001C734B"/>
  </w:style>
  <w:style w:type="character" w:customStyle="1" w:styleId="EndnoteChar">
    <w:name w:val="Endnote Char"/>
    <w:basedOn w:val="EndnoteTextChar"/>
    <w:link w:val="Endnote"/>
    <w:semiHidden/>
    <w:rsid w:val="00A5460F"/>
    <w:rPr>
      <w:rFonts w:cs="Simplified Arabic"/>
      <w:lang w:bidi="ar-AE"/>
    </w:rPr>
  </w:style>
  <w:style w:type="character" w:customStyle="1" w:styleId="Heading2Char">
    <w:name w:val="Heading 2 Char"/>
    <w:basedOn w:val="DefaultParagraphFont"/>
    <w:link w:val="Heading2"/>
    <w:semiHidden/>
    <w:rsid w:val="001C05C2"/>
    <w:rPr>
      <w:rFonts w:cs="Simplified Arabic"/>
      <w:sz w:val="24"/>
      <w:szCs w:val="24"/>
      <w:lang w:bidi="ar-AE"/>
    </w:rPr>
  </w:style>
  <w:style w:type="character" w:customStyle="1" w:styleId="Heading3Char">
    <w:name w:val="Heading 3 Char"/>
    <w:basedOn w:val="DefaultParagraphFont"/>
    <w:link w:val="Heading3"/>
    <w:semiHidden/>
    <w:rsid w:val="001C05C2"/>
    <w:rPr>
      <w:rFonts w:cs="Simplified Arabic"/>
      <w:sz w:val="24"/>
      <w:szCs w:val="24"/>
      <w:lang w:bidi="ar-AE"/>
    </w:rPr>
  </w:style>
  <w:style w:type="character" w:customStyle="1" w:styleId="Heading4Char">
    <w:name w:val="Heading 4 Char"/>
    <w:basedOn w:val="DefaultParagraphFont"/>
    <w:link w:val="Heading4"/>
    <w:semiHidden/>
    <w:rsid w:val="001C05C2"/>
    <w:rPr>
      <w:rFonts w:cs="Simplified Arabic"/>
      <w:sz w:val="24"/>
      <w:szCs w:val="24"/>
      <w:lang w:bidi="ar-AE"/>
    </w:rPr>
  </w:style>
  <w:style w:type="character" w:customStyle="1" w:styleId="Heading5Char">
    <w:name w:val="Heading 5 Char"/>
    <w:basedOn w:val="DefaultParagraphFont"/>
    <w:link w:val="Heading5"/>
    <w:semiHidden/>
    <w:rsid w:val="001C05C2"/>
    <w:rPr>
      <w:rFonts w:cs="Simplified Arabic"/>
      <w:sz w:val="24"/>
      <w:szCs w:val="24"/>
      <w:lang w:bidi="ar-AE"/>
    </w:rPr>
  </w:style>
  <w:style w:type="character" w:customStyle="1" w:styleId="Heading6Char">
    <w:name w:val="Heading 6 Char"/>
    <w:basedOn w:val="DefaultParagraphFont"/>
    <w:link w:val="Heading6"/>
    <w:semiHidden/>
    <w:rsid w:val="001C05C2"/>
    <w:rPr>
      <w:rFonts w:cs="Simplified Arabic"/>
      <w:sz w:val="24"/>
      <w:szCs w:val="24"/>
      <w:lang w:bidi="ar-AE"/>
    </w:rPr>
  </w:style>
  <w:style w:type="character" w:customStyle="1" w:styleId="Heading7Char">
    <w:name w:val="Heading 7 Char"/>
    <w:basedOn w:val="DefaultParagraphFont"/>
    <w:link w:val="Heading7"/>
    <w:semiHidden/>
    <w:rsid w:val="001C05C2"/>
    <w:rPr>
      <w:rFonts w:cs="Simplified Arabic"/>
      <w:sz w:val="24"/>
      <w:szCs w:val="24"/>
      <w:lang w:bidi="ar-AE"/>
    </w:rPr>
  </w:style>
  <w:style w:type="character" w:customStyle="1" w:styleId="Heading8Char">
    <w:name w:val="Heading 8 Char"/>
    <w:basedOn w:val="DefaultParagraphFont"/>
    <w:link w:val="Heading8"/>
    <w:semiHidden/>
    <w:rsid w:val="001C05C2"/>
    <w:rPr>
      <w:rFonts w:cs="Simplified Arabic"/>
      <w:sz w:val="24"/>
      <w:szCs w:val="24"/>
      <w:lang w:bidi="ar-AE"/>
    </w:rPr>
  </w:style>
  <w:style w:type="character" w:customStyle="1" w:styleId="Heading9Char">
    <w:name w:val="Heading 9 Char"/>
    <w:basedOn w:val="DefaultParagraphFont"/>
    <w:link w:val="Heading9"/>
    <w:semiHidden/>
    <w:rsid w:val="001C05C2"/>
    <w:rPr>
      <w:rFonts w:cs="Simplified Arabic"/>
      <w:sz w:val="24"/>
      <w:szCs w:val="24"/>
      <w:lang w:bidi="ar-AE"/>
    </w:rPr>
  </w:style>
  <w:style w:type="paragraph" w:customStyle="1" w:styleId="LegalEntity">
    <w:name w:val="LegalEntity"/>
    <w:next w:val="LegalEntityNB"/>
    <w:rsid w:val="001C734B"/>
    <w:pPr>
      <w:spacing w:line="288" w:lineRule="auto"/>
    </w:pPr>
    <w:rPr>
      <w:rFonts w:ascii="Arial Black" w:hAnsi="Arial Black" w:cs="Simplified Arabic"/>
      <w:bCs/>
      <w:caps/>
      <w:spacing w:val="6"/>
      <w:sz w:val="14"/>
      <w:szCs w:val="14"/>
      <w:lang w:bidi="ar-AE"/>
    </w:rPr>
  </w:style>
  <w:style w:type="paragraph" w:customStyle="1" w:styleId="OfficeAddress">
    <w:name w:val="OfficeAddress"/>
    <w:next w:val="OfficeSecondaryAddress"/>
    <w:rsid w:val="001C734B"/>
    <w:pPr>
      <w:spacing w:line="288" w:lineRule="auto"/>
    </w:pPr>
    <w:rPr>
      <w:rFonts w:ascii="Arial" w:hAnsi="Arial" w:cs="Simplified Arabic"/>
      <w:caps/>
      <w:spacing w:val="10"/>
      <w:sz w:val="14"/>
      <w:szCs w:val="14"/>
      <w:lang w:bidi="ar-AE"/>
    </w:rPr>
  </w:style>
  <w:style w:type="paragraph" w:customStyle="1" w:styleId="WebAddress">
    <w:name w:val="WebAddress"/>
    <w:next w:val="Normal"/>
    <w:semiHidden/>
    <w:rsid w:val="001C734B"/>
    <w:pPr>
      <w:spacing w:before="80" w:line="288" w:lineRule="auto"/>
    </w:pPr>
    <w:rPr>
      <w:rFonts w:ascii="Arial" w:hAnsi="Arial" w:cs="Simplified Arabic"/>
      <w:sz w:val="14"/>
      <w:szCs w:val="14"/>
      <w:lang w:bidi="ar-AE"/>
    </w:rPr>
  </w:style>
  <w:style w:type="paragraph" w:customStyle="1" w:styleId="DocLabels">
    <w:name w:val="DocLabels"/>
    <w:semiHidden/>
    <w:rsid w:val="001C734B"/>
    <w:pPr>
      <w:spacing w:before="100"/>
    </w:pPr>
    <w:rPr>
      <w:rFonts w:ascii="Arial" w:hAnsi="Arial" w:cs="Simplified Arabic"/>
      <w:caps/>
      <w:spacing w:val="12"/>
      <w:sz w:val="13"/>
      <w:szCs w:val="13"/>
      <w:lang w:bidi="ar-AE"/>
    </w:rPr>
  </w:style>
  <w:style w:type="paragraph" w:customStyle="1" w:styleId="OptionLabel">
    <w:name w:val="OptionLabel"/>
    <w:semiHidden/>
    <w:rsid w:val="001C734B"/>
    <w:pPr>
      <w:spacing w:line="288" w:lineRule="auto"/>
    </w:pPr>
    <w:rPr>
      <w:rFonts w:cs="Simplified Arabic"/>
      <w:b/>
      <w:bCs/>
      <w:sz w:val="24"/>
      <w:szCs w:val="24"/>
      <w:lang w:bidi="ar-AE"/>
    </w:rPr>
  </w:style>
  <w:style w:type="paragraph" w:customStyle="1" w:styleId="Regulatory">
    <w:name w:val="Regulatory"/>
    <w:basedOn w:val="Normal"/>
    <w:next w:val="Footer"/>
    <w:rsid w:val="001C734B"/>
    <w:pPr>
      <w:jc w:val="left"/>
    </w:pPr>
    <w:rPr>
      <w:rFonts w:ascii="Arial" w:hAnsi="Arial"/>
      <w:caps/>
      <w:spacing w:val="8"/>
      <w:sz w:val="14"/>
      <w:szCs w:val="14"/>
    </w:rPr>
  </w:style>
  <w:style w:type="character" w:styleId="PageNumber">
    <w:name w:val="page number"/>
    <w:basedOn w:val="DefaultParagraphFont"/>
    <w:uiPriority w:val="99"/>
    <w:rsid w:val="001C734B"/>
    <w:rPr>
      <w:rFonts w:ascii="Times New Roman" w:eastAsia="SimSun" w:hAnsi="Times New Roman" w:cs="Times New Roman"/>
      <w:b w:val="0"/>
      <w:sz w:val="24"/>
      <w:szCs w:val="24"/>
      <w:lang w:bidi="ar-AE"/>
    </w:rPr>
  </w:style>
  <w:style w:type="paragraph" w:styleId="Header">
    <w:name w:val="header"/>
    <w:link w:val="HeaderChar"/>
    <w:uiPriority w:val="1"/>
    <w:qFormat/>
    <w:rsid w:val="001C734B"/>
    <w:pPr>
      <w:jc w:val="both"/>
    </w:pPr>
    <w:rPr>
      <w:rFonts w:cs="Simplified Arabic"/>
      <w:sz w:val="24"/>
      <w:szCs w:val="24"/>
      <w:lang w:bidi="ar-AE"/>
    </w:rPr>
  </w:style>
  <w:style w:type="character" w:customStyle="1" w:styleId="HeaderChar">
    <w:name w:val="Header Char"/>
    <w:basedOn w:val="DefaultParagraphFont"/>
    <w:link w:val="Header"/>
    <w:uiPriority w:val="1"/>
    <w:rsid w:val="00A5460F"/>
    <w:rPr>
      <w:rFonts w:cs="Simplified Arabic"/>
      <w:sz w:val="24"/>
      <w:szCs w:val="24"/>
      <w:lang w:bidi="ar-AE"/>
    </w:rPr>
  </w:style>
  <w:style w:type="paragraph" w:styleId="Footer">
    <w:name w:val="footer"/>
    <w:link w:val="FooterChar"/>
    <w:uiPriority w:val="1"/>
    <w:qFormat/>
    <w:rsid w:val="001C734B"/>
    <w:rPr>
      <w:sz w:val="16"/>
      <w:szCs w:val="16"/>
      <w:lang w:bidi="ar-AE"/>
    </w:rPr>
  </w:style>
  <w:style w:type="character" w:customStyle="1" w:styleId="FooterChar">
    <w:name w:val="Footer Char"/>
    <w:basedOn w:val="DefaultParagraphFont"/>
    <w:link w:val="Footer"/>
    <w:uiPriority w:val="1"/>
    <w:rsid w:val="00A5460F"/>
    <w:rPr>
      <w:sz w:val="16"/>
      <w:szCs w:val="16"/>
      <w:lang w:bidi="ar-AE"/>
    </w:rPr>
  </w:style>
  <w:style w:type="table" w:styleId="TableGrid">
    <w:name w:val="Table Grid"/>
    <w:basedOn w:val="TableNormal"/>
    <w:uiPriority w:val="59"/>
    <w:rsid w:val="001C734B"/>
    <w:rPr>
      <w:rFonts w:cs="Simplified Arabic"/>
      <w:lang w:bidi="ar-A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EntityNB">
    <w:name w:val="LegalEntityNB"/>
    <w:basedOn w:val="LegalEntity"/>
    <w:next w:val="OfficeAddress"/>
    <w:semiHidden/>
    <w:rsid w:val="001C734B"/>
    <w:rPr>
      <w:rFonts w:ascii="Arial" w:hAnsi="Arial"/>
      <w:bCs w:val="0"/>
    </w:rPr>
  </w:style>
  <w:style w:type="paragraph" w:customStyle="1" w:styleId="AddressBreak">
    <w:name w:val="AddressBreak"/>
    <w:next w:val="OfficeAddress"/>
    <w:semiHidden/>
    <w:rsid w:val="001C734B"/>
    <w:rPr>
      <w:rFonts w:ascii="Arial" w:hAnsi="Arial" w:cs="Arial"/>
      <w:sz w:val="6"/>
      <w:szCs w:val="6"/>
      <w:lang w:bidi="ar-AE"/>
    </w:rPr>
  </w:style>
  <w:style w:type="paragraph" w:customStyle="1" w:styleId="NormalNS">
    <w:name w:val="NormalNS"/>
    <w:basedOn w:val="Normal"/>
    <w:uiPriority w:val="1"/>
    <w:qFormat/>
    <w:rsid w:val="001C734B"/>
    <w:pPr>
      <w:spacing w:after="0"/>
    </w:pPr>
  </w:style>
  <w:style w:type="paragraph" w:customStyle="1" w:styleId="FooterRight">
    <w:name w:val="Footer Right"/>
    <w:basedOn w:val="Footer"/>
    <w:rsid w:val="001C734B"/>
    <w:pPr>
      <w:jc w:val="right"/>
    </w:pPr>
  </w:style>
  <w:style w:type="paragraph" w:styleId="BodyText">
    <w:name w:val="Body Text"/>
    <w:basedOn w:val="Normal"/>
    <w:link w:val="BodyTextChar"/>
    <w:qFormat/>
    <w:rsid w:val="001C734B"/>
  </w:style>
  <w:style w:type="character" w:customStyle="1" w:styleId="BodyTextChar">
    <w:name w:val="Body Text Char"/>
    <w:basedOn w:val="DefaultParagraphFont"/>
    <w:link w:val="BodyText"/>
    <w:rsid w:val="00A5460F"/>
    <w:rPr>
      <w:rFonts w:cs="Simplified Arabic"/>
      <w:sz w:val="24"/>
      <w:szCs w:val="24"/>
      <w:lang w:bidi="ar-AE"/>
    </w:rPr>
  </w:style>
  <w:style w:type="paragraph" w:customStyle="1" w:styleId="LetterDetail">
    <w:name w:val="LetterDetail"/>
    <w:basedOn w:val="Normal"/>
    <w:semiHidden/>
    <w:rsid w:val="001C734B"/>
    <w:pPr>
      <w:spacing w:after="40"/>
      <w:jc w:val="right"/>
    </w:pPr>
    <w:rPr>
      <w:sz w:val="18"/>
      <w:szCs w:val="18"/>
    </w:rPr>
  </w:style>
  <w:style w:type="paragraph" w:customStyle="1" w:styleId="RecipientSP">
    <w:name w:val="RecipientSP"/>
    <w:semiHidden/>
    <w:rsid w:val="001C734B"/>
    <w:rPr>
      <w:rFonts w:cs="Simplified Arabic"/>
      <w:sz w:val="2"/>
      <w:szCs w:val="2"/>
      <w:lang w:bidi="ar-AE"/>
    </w:rPr>
  </w:style>
  <w:style w:type="paragraph" w:customStyle="1" w:styleId="BodyText1">
    <w:name w:val="Body Text 1"/>
    <w:basedOn w:val="Normal"/>
    <w:qFormat/>
    <w:rsid w:val="001C734B"/>
    <w:pPr>
      <w:ind w:left="720"/>
    </w:pPr>
  </w:style>
  <w:style w:type="paragraph" w:styleId="BodyText2">
    <w:name w:val="Body Text 2"/>
    <w:basedOn w:val="Normal"/>
    <w:link w:val="BodyText2Char"/>
    <w:qFormat/>
    <w:rsid w:val="001C734B"/>
    <w:pPr>
      <w:ind w:left="1440"/>
    </w:pPr>
  </w:style>
  <w:style w:type="character" w:customStyle="1" w:styleId="BodyText2Char">
    <w:name w:val="Body Text 2 Char"/>
    <w:basedOn w:val="DefaultParagraphFont"/>
    <w:link w:val="BodyText2"/>
    <w:rsid w:val="00A5460F"/>
    <w:rPr>
      <w:rFonts w:cs="Simplified Arabic"/>
      <w:sz w:val="24"/>
      <w:szCs w:val="24"/>
      <w:lang w:bidi="ar-AE"/>
    </w:rPr>
  </w:style>
  <w:style w:type="paragraph" w:styleId="BodyText3">
    <w:name w:val="Body Text 3"/>
    <w:basedOn w:val="Normal"/>
    <w:link w:val="BodyText3Char"/>
    <w:qFormat/>
    <w:rsid w:val="001C734B"/>
    <w:pPr>
      <w:ind w:left="2160"/>
    </w:pPr>
  </w:style>
  <w:style w:type="character" w:customStyle="1" w:styleId="BodyText3Char">
    <w:name w:val="Body Text 3 Char"/>
    <w:basedOn w:val="DefaultParagraphFont"/>
    <w:link w:val="BodyText3"/>
    <w:rsid w:val="00A5460F"/>
    <w:rPr>
      <w:rFonts w:cs="Simplified Arabic"/>
      <w:sz w:val="24"/>
      <w:szCs w:val="24"/>
      <w:lang w:bidi="ar-AE"/>
    </w:rPr>
  </w:style>
  <w:style w:type="paragraph" w:customStyle="1" w:styleId="BodyText4">
    <w:name w:val="Body Text 4"/>
    <w:basedOn w:val="Normal"/>
    <w:rsid w:val="001C734B"/>
    <w:pPr>
      <w:ind w:left="2880"/>
    </w:pPr>
  </w:style>
  <w:style w:type="paragraph" w:customStyle="1" w:styleId="BodyText5">
    <w:name w:val="Body Text 5"/>
    <w:basedOn w:val="Normal"/>
    <w:rsid w:val="001C734B"/>
    <w:pPr>
      <w:ind w:left="3600"/>
    </w:pPr>
  </w:style>
  <w:style w:type="paragraph" w:customStyle="1" w:styleId="BodyText6">
    <w:name w:val="Body Text 6"/>
    <w:basedOn w:val="Normal"/>
    <w:rsid w:val="001C734B"/>
    <w:pPr>
      <w:ind w:left="4320"/>
    </w:pPr>
  </w:style>
  <w:style w:type="paragraph" w:customStyle="1" w:styleId="BodyText7">
    <w:name w:val="Body Text 7"/>
    <w:basedOn w:val="Normal"/>
    <w:rsid w:val="001C734B"/>
    <w:pPr>
      <w:ind w:left="5041"/>
    </w:pPr>
  </w:style>
  <w:style w:type="paragraph" w:customStyle="1" w:styleId="NormalRight">
    <w:name w:val="NormalRight"/>
    <w:basedOn w:val="NormalNS"/>
    <w:uiPriority w:val="1"/>
    <w:qFormat/>
    <w:rsid w:val="001C734B"/>
    <w:pPr>
      <w:jc w:val="right"/>
    </w:pPr>
  </w:style>
  <w:style w:type="paragraph" w:customStyle="1" w:styleId="Addressee">
    <w:name w:val="Addressee"/>
    <w:basedOn w:val="Normal"/>
    <w:rsid w:val="001C734B"/>
    <w:pPr>
      <w:spacing w:after="0"/>
      <w:jc w:val="left"/>
    </w:pPr>
  </w:style>
  <w:style w:type="paragraph" w:customStyle="1" w:styleId="NormalBold">
    <w:name w:val="NormalBold"/>
    <w:basedOn w:val="Normal"/>
    <w:next w:val="Normal"/>
    <w:uiPriority w:val="1"/>
    <w:qFormat/>
    <w:rsid w:val="001C734B"/>
    <w:rPr>
      <w:b/>
      <w:bCs/>
    </w:rPr>
  </w:style>
  <w:style w:type="paragraph" w:customStyle="1" w:styleId="ParagraphL9">
    <w:name w:val="Paragraph L9"/>
    <w:basedOn w:val="Normal"/>
    <w:semiHidden/>
    <w:rsid w:val="001C734B"/>
    <w:pPr>
      <w:numPr>
        <w:ilvl w:val="8"/>
        <w:numId w:val="1"/>
      </w:numPr>
      <w:outlineLvl w:val="8"/>
    </w:pPr>
  </w:style>
  <w:style w:type="paragraph" w:customStyle="1" w:styleId="ParagraphL8">
    <w:name w:val="Paragraph L8"/>
    <w:basedOn w:val="Normal"/>
    <w:semiHidden/>
    <w:rsid w:val="001C734B"/>
    <w:pPr>
      <w:numPr>
        <w:ilvl w:val="7"/>
        <w:numId w:val="1"/>
      </w:numPr>
      <w:outlineLvl w:val="7"/>
    </w:pPr>
  </w:style>
  <w:style w:type="paragraph" w:customStyle="1" w:styleId="ParagraphL7">
    <w:name w:val="Paragraph L7"/>
    <w:basedOn w:val="Normal"/>
    <w:semiHidden/>
    <w:rsid w:val="001C734B"/>
    <w:pPr>
      <w:numPr>
        <w:ilvl w:val="6"/>
        <w:numId w:val="1"/>
      </w:numPr>
      <w:outlineLvl w:val="6"/>
    </w:pPr>
  </w:style>
  <w:style w:type="paragraph" w:customStyle="1" w:styleId="ParagraphL6">
    <w:name w:val="Paragraph L6"/>
    <w:basedOn w:val="Normal"/>
    <w:semiHidden/>
    <w:rsid w:val="001C734B"/>
    <w:pPr>
      <w:numPr>
        <w:ilvl w:val="5"/>
        <w:numId w:val="1"/>
      </w:numPr>
      <w:outlineLvl w:val="5"/>
    </w:pPr>
  </w:style>
  <w:style w:type="paragraph" w:customStyle="1" w:styleId="ParagraphL5">
    <w:name w:val="Paragraph L5"/>
    <w:basedOn w:val="Normal"/>
    <w:next w:val="BodyText5"/>
    <w:rsid w:val="001C734B"/>
    <w:pPr>
      <w:numPr>
        <w:ilvl w:val="4"/>
        <w:numId w:val="1"/>
      </w:numPr>
      <w:outlineLvl w:val="4"/>
    </w:pPr>
  </w:style>
  <w:style w:type="paragraph" w:styleId="BodyTextFirstIndent">
    <w:name w:val="Body Text First Indent"/>
    <w:basedOn w:val="BodyText"/>
    <w:link w:val="BodyTextFirstIndentChar"/>
    <w:qFormat/>
    <w:rsid w:val="001C734B"/>
    <w:pPr>
      <w:ind w:firstLine="720"/>
    </w:pPr>
  </w:style>
  <w:style w:type="character" w:customStyle="1" w:styleId="BodyTextFirstIndentChar">
    <w:name w:val="Body Text First Indent Char"/>
    <w:basedOn w:val="BodyTextChar"/>
    <w:link w:val="BodyTextFirstIndent"/>
    <w:rsid w:val="00A5460F"/>
    <w:rPr>
      <w:rFonts w:cs="Simplified Arabic"/>
      <w:sz w:val="24"/>
      <w:szCs w:val="24"/>
      <w:lang w:bidi="ar-AE"/>
    </w:rPr>
  </w:style>
  <w:style w:type="paragraph" w:styleId="BodyTextIndent">
    <w:name w:val="Body Text Indent"/>
    <w:basedOn w:val="Normal"/>
    <w:link w:val="BodyTextIndentChar"/>
    <w:uiPriority w:val="99"/>
    <w:semiHidden/>
    <w:unhideWhenUsed/>
    <w:rsid w:val="001C734B"/>
    <w:pPr>
      <w:spacing w:after="120"/>
      <w:ind w:left="283"/>
    </w:pPr>
  </w:style>
  <w:style w:type="character" w:customStyle="1" w:styleId="BodyTextIndentChar">
    <w:name w:val="Body Text Indent Char"/>
    <w:basedOn w:val="DefaultParagraphFont"/>
    <w:link w:val="BodyTextIndent"/>
    <w:uiPriority w:val="99"/>
    <w:semiHidden/>
    <w:rsid w:val="00A5460F"/>
    <w:rPr>
      <w:rFonts w:cs="Simplified Arabic"/>
      <w:sz w:val="24"/>
      <w:szCs w:val="24"/>
      <w:lang w:bidi="ar-AE"/>
    </w:rPr>
  </w:style>
  <w:style w:type="paragraph" w:styleId="BodyTextFirstIndent2">
    <w:name w:val="Body Text First Indent 2"/>
    <w:basedOn w:val="BodyTextFirstIndent"/>
    <w:link w:val="BodyTextFirstIndent2Char"/>
    <w:qFormat/>
    <w:rsid w:val="001C734B"/>
    <w:pPr>
      <w:ind w:firstLine="1440"/>
    </w:pPr>
  </w:style>
  <w:style w:type="character" w:customStyle="1" w:styleId="BodyTextFirstIndent2Char">
    <w:name w:val="Body Text First Indent 2 Char"/>
    <w:basedOn w:val="BodyTextIndentChar"/>
    <w:link w:val="BodyTextFirstIndent2"/>
    <w:rsid w:val="00A5460F"/>
    <w:rPr>
      <w:rFonts w:cs="Simplified Arabic"/>
      <w:sz w:val="24"/>
      <w:szCs w:val="24"/>
      <w:lang w:bidi="ar-AE"/>
    </w:rPr>
  </w:style>
  <w:style w:type="character" w:styleId="CommentReference">
    <w:name w:val="annotation reference"/>
    <w:basedOn w:val="DefaultParagraphFont"/>
    <w:uiPriority w:val="99"/>
    <w:semiHidden/>
    <w:unhideWhenUsed/>
    <w:rsid w:val="001C734B"/>
    <w:rPr>
      <w:rFonts w:ascii="Times New Roman" w:eastAsia="SimSun" w:hAnsi="Times New Roman" w:cs="Simplified Arabic"/>
      <w:sz w:val="18"/>
      <w:szCs w:val="18"/>
      <w:lang w:bidi="ar-AE"/>
    </w:rPr>
  </w:style>
  <w:style w:type="paragraph" w:styleId="CommentText">
    <w:name w:val="annotation text"/>
    <w:basedOn w:val="Normal"/>
    <w:link w:val="CommentTextChar"/>
    <w:uiPriority w:val="99"/>
    <w:unhideWhenUsed/>
    <w:rsid w:val="001C734B"/>
    <w:pPr>
      <w:spacing w:after="120"/>
    </w:pPr>
    <w:rPr>
      <w:sz w:val="20"/>
      <w:szCs w:val="20"/>
    </w:rPr>
  </w:style>
  <w:style w:type="character" w:customStyle="1" w:styleId="CommentTextChar">
    <w:name w:val="Comment Text Char"/>
    <w:basedOn w:val="DefaultParagraphFont"/>
    <w:link w:val="CommentText"/>
    <w:uiPriority w:val="99"/>
    <w:rsid w:val="00A5460F"/>
    <w:rPr>
      <w:rFonts w:cs="Simplified Arabic"/>
      <w:lang w:bidi="ar-AE"/>
    </w:rPr>
  </w:style>
  <w:style w:type="paragraph" w:styleId="ListParagraph">
    <w:name w:val="List Paragraph"/>
    <w:basedOn w:val="Normal"/>
    <w:uiPriority w:val="34"/>
    <w:unhideWhenUsed/>
    <w:qFormat/>
    <w:rsid w:val="001C734B"/>
    <w:pPr>
      <w:ind w:left="720"/>
      <w:contextualSpacing/>
    </w:pPr>
  </w:style>
  <w:style w:type="character" w:styleId="Emphasis">
    <w:name w:val="Emphasis"/>
    <w:uiPriority w:val="20"/>
    <w:qFormat/>
    <w:rsid w:val="001C734B"/>
    <w:rPr>
      <w:i/>
      <w:iCs/>
      <w:lang w:bidi="ar-AE"/>
    </w:rPr>
  </w:style>
  <w:style w:type="paragraph" w:styleId="NoSpacing">
    <w:name w:val="No Spacing"/>
    <w:basedOn w:val="Normal"/>
    <w:uiPriority w:val="1"/>
    <w:semiHidden/>
    <w:unhideWhenUsed/>
    <w:qFormat/>
    <w:rsid w:val="001C734B"/>
    <w:pPr>
      <w:spacing w:after="0" w:line="240" w:lineRule="auto"/>
    </w:pPr>
  </w:style>
  <w:style w:type="paragraph" w:customStyle="1" w:styleId="NormalBoldNS">
    <w:name w:val="NormalBoldNS"/>
    <w:basedOn w:val="Normal"/>
    <w:next w:val="Normal"/>
    <w:uiPriority w:val="1"/>
    <w:qFormat/>
    <w:rsid w:val="001C734B"/>
    <w:pPr>
      <w:spacing w:after="0"/>
      <w:jc w:val="left"/>
    </w:pPr>
    <w:rPr>
      <w:b/>
      <w:bCs/>
    </w:rPr>
  </w:style>
  <w:style w:type="paragraph" w:customStyle="1" w:styleId="NoteContinuation">
    <w:name w:val="Note Continuation"/>
    <w:basedOn w:val="Normal"/>
    <w:qFormat/>
    <w:rsid w:val="001C734B"/>
    <w:pPr>
      <w:spacing w:after="120"/>
      <w:ind w:left="340"/>
    </w:pPr>
    <w:rPr>
      <w:sz w:val="20"/>
      <w:szCs w:val="20"/>
    </w:rPr>
  </w:style>
  <w:style w:type="character" w:styleId="Strong">
    <w:name w:val="Strong"/>
    <w:uiPriority w:val="22"/>
    <w:rsid w:val="001C734B"/>
    <w:rPr>
      <w:b/>
      <w:bCs/>
      <w:lang w:bidi="ar-AE"/>
    </w:rPr>
  </w:style>
  <w:style w:type="paragraph" w:styleId="Subtitle">
    <w:name w:val="Subtitle"/>
    <w:basedOn w:val="Normal"/>
    <w:next w:val="BodyText"/>
    <w:link w:val="SubtitleChar"/>
    <w:qFormat/>
    <w:rsid w:val="001C734B"/>
    <w:pPr>
      <w:numPr>
        <w:ilvl w:val="1"/>
      </w:numPr>
      <w:jc w:val="center"/>
    </w:pPr>
  </w:style>
  <w:style w:type="character" w:customStyle="1" w:styleId="SubtitleChar">
    <w:name w:val="Subtitle Char"/>
    <w:basedOn w:val="DefaultParagraphFont"/>
    <w:link w:val="Subtitle"/>
    <w:rsid w:val="00A5460F"/>
    <w:rPr>
      <w:rFonts w:cs="Simplified Arabic"/>
      <w:sz w:val="24"/>
      <w:szCs w:val="24"/>
      <w:lang w:bidi="ar-AE"/>
    </w:rPr>
  </w:style>
  <w:style w:type="paragraph" w:styleId="Title">
    <w:name w:val="Title"/>
    <w:basedOn w:val="Normal"/>
    <w:next w:val="BodyText"/>
    <w:link w:val="TitleChar"/>
    <w:qFormat/>
    <w:rsid w:val="001C734B"/>
    <w:pPr>
      <w:jc w:val="center"/>
    </w:pPr>
    <w:rPr>
      <w:b/>
      <w:bCs/>
    </w:rPr>
  </w:style>
  <w:style w:type="character" w:customStyle="1" w:styleId="TitleChar">
    <w:name w:val="Title Char"/>
    <w:basedOn w:val="DefaultParagraphFont"/>
    <w:link w:val="Title"/>
    <w:rsid w:val="00A5460F"/>
    <w:rPr>
      <w:rFonts w:cs="Simplified Arabic"/>
      <w:b/>
      <w:bCs/>
      <w:sz w:val="24"/>
      <w:szCs w:val="24"/>
      <w:lang w:bidi="ar-AE"/>
    </w:rPr>
  </w:style>
  <w:style w:type="paragraph" w:customStyle="1" w:styleId="OfficeSecondaryAddress">
    <w:name w:val="OfficeSecondaryAddress"/>
    <w:basedOn w:val="OfficeAddress"/>
    <w:next w:val="OfficeAddress"/>
    <w:semiHidden/>
    <w:rsid w:val="001C734B"/>
  </w:style>
  <w:style w:type="paragraph" w:customStyle="1" w:styleId="BGHStandard">
    <w:name w:val="BGH Standard"/>
    <w:basedOn w:val="Normal"/>
    <w:semiHidden/>
    <w:unhideWhenUsed/>
    <w:rsid w:val="001C734B"/>
    <w:pPr>
      <w:spacing w:line="360" w:lineRule="atLeast"/>
      <w:ind w:left="1985"/>
    </w:pPr>
  </w:style>
  <w:style w:type="paragraph" w:styleId="CommentSubject">
    <w:name w:val="annotation subject"/>
    <w:basedOn w:val="CommentText"/>
    <w:next w:val="CommentText"/>
    <w:link w:val="CommentSubjectChar"/>
    <w:uiPriority w:val="99"/>
    <w:semiHidden/>
    <w:unhideWhenUsed/>
    <w:rsid w:val="001C734B"/>
    <w:pPr>
      <w:spacing w:after="240"/>
    </w:pPr>
    <w:rPr>
      <w:b/>
      <w:bCs/>
    </w:rPr>
  </w:style>
  <w:style w:type="character" w:customStyle="1" w:styleId="CommentSubjectChar">
    <w:name w:val="Comment Subject Char"/>
    <w:basedOn w:val="CommentTextChar"/>
    <w:link w:val="CommentSubject"/>
    <w:uiPriority w:val="99"/>
    <w:semiHidden/>
    <w:rsid w:val="00A5460F"/>
    <w:rPr>
      <w:rFonts w:cs="Simplified Arabic"/>
      <w:b/>
      <w:bCs/>
      <w:lang w:bidi="ar-AE"/>
    </w:rPr>
  </w:style>
  <w:style w:type="paragraph" w:customStyle="1" w:styleId="ArabicWebAddress">
    <w:name w:val="Arabic WebAddress"/>
    <w:semiHidden/>
    <w:rsid w:val="001C734B"/>
    <w:pPr>
      <w:snapToGrid w:val="0"/>
      <w:jc w:val="right"/>
    </w:pPr>
    <w:rPr>
      <w:rFonts w:ascii="Arial" w:hAnsi="Arial" w:cs="Simplified Arabic"/>
      <w:sz w:val="14"/>
      <w:szCs w:val="14"/>
      <w:lang w:bidi="ar-AE"/>
    </w:rPr>
  </w:style>
  <w:style w:type="paragraph" w:customStyle="1" w:styleId="NormalRight12">
    <w:name w:val="NormalRight12"/>
    <w:basedOn w:val="NormalRight"/>
    <w:qFormat/>
    <w:rsid w:val="001C734B"/>
    <w:pPr>
      <w:spacing w:after="240"/>
    </w:pPr>
  </w:style>
  <w:style w:type="paragraph" w:customStyle="1" w:styleId="SubTitle0">
    <w:name w:val="SubTitle0"/>
    <w:basedOn w:val="Subtitle"/>
    <w:qFormat/>
    <w:rsid w:val="001C734B"/>
    <w:pPr>
      <w:spacing w:after="0"/>
    </w:pPr>
  </w:style>
  <w:style w:type="paragraph" w:customStyle="1" w:styleId="FaxDetail">
    <w:name w:val="FaxDetail"/>
    <w:basedOn w:val="Normal"/>
    <w:semiHidden/>
    <w:qFormat/>
    <w:rsid w:val="001C734B"/>
    <w:pPr>
      <w:spacing w:after="40"/>
      <w:jc w:val="left"/>
    </w:pPr>
    <w:rPr>
      <w:sz w:val="21"/>
      <w:szCs w:val="21"/>
    </w:rPr>
  </w:style>
  <w:style w:type="paragraph" w:customStyle="1" w:styleId="FaxDetailRight">
    <w:name w:val="FaxDetailRight"/>
    <w:basedOn w:val="Normal"/>
    <w:semiHidden/>
    <w:qFormat/>
    <w:rsid w:val="001C734B"/>
    <w:pPr>
      <w:jc w:val="right"/>
    </w:pPr>
    <w:rPr>
      <w:rFonts w:cs="Times New Roman"/>
      <w:sz w:val="21"/>
      <w:szCs w:val="21"/>
    </w:rPr>
  </w:style>
  <w:style w:type="paragraph" w:customStyle="1" w:styleId="NormalLeft">
    <w:name w:val="NormalLeft"/>
    <w:basedOn w:val="Normal"/>
    <w:next w:val="Normal"/>
    <w:qFormat/>
    <w:rsid w:val="001C734B"/>
    <w:pPr>
      <w:jc w:val="left"/>
    </w:pPr>
  </w:style>
  <w:style w:type="paragraph" w:customStyle="1" w:styleId="HKPartners">
    <w:name w:val="HKPartners"/>
    <w:semiHidden/>
    <w:qFormat/>
    <w:rsid w:val="001C734B"/>
    <w:rPr>
      <w:rFonts w:ascii="Arial" w:hAnsi="Arial" w:cs="Simplified Arabic"/>
      <w:caps/>
      <w:sz w:val="10"/>
      <w:szCs w:val="10"/>
      <w:lang w:bidi="ar-AE"/>
    </w:rPr>
  </w:style>
  <w:style w:type="paragraph" w:customStyle="1" w:styleId="HKPartnersBold">
    <w:name w:val="HKPartnersBold"/>
    <w:basedOn w:val="HKPartners"/>
    <w:semiHidden/>
    <w:qFormat/>
    <w:rsid w:val="001C734B"/>
    <w:rPr>
      <w:b/>
    </w:rPr>
  </w:style>
  <w:style w:type="paragraph" w:customStyle="1" w:styleId="ArabicHeader">
    <w:name w:val="ArabicHeader"/>
    <w:semiHidden/>
    <w:rsid w:val="001C734B"/>
    <w:pPr>
      <w:spacing w:line="180" w:lineRule="exact"/>
      <w:jc w:val="right"/>
    </w:pPr>
    <w:rPr>
      <w:rFonts w:ascii="Simplified Arabic" w:hAnsi="Simplified Arabic" w:cs="Simplified Arabic"/>
      <w:bCs/>
      <w:caps/>
      <w:spacing w:val="6"/>
      <w:sz w:val="14"/>
      <w:szCs w:val="14"/>
      <w:lang w:bidi="ar-AE"/>
    </w:rPr>
  </w:style>
  <w:style w:type="paragraph" w:customStyle="1" w:styleId="ArabicReg">
    <w:name w:val="ArabicReg"/>
    <w:next w:val="Regulatory"/>
    <w:semiHidden/>
    <w:rsid w:val="001C734B"/>
    <w:pPr>
      <w:bidi/>
    </w:pPr>
    <w:rPr>
      <w:rFonts w:cs="Simplified Arabic"/>
      <w:caps/>
      <w:spacing w:val="8"/>
      <w:sz w:val="24"/>
      <w:szCs w:val="24"/>
      <w:lang w:bidi="ar-AE"/>
    </w:rPr>
  </w:style>
  <w:style w:type="paragraph" w:styleId="EnvelopeAddress">
    <w:name w:val="envelope address"/>
    <w:basedOn w:val="NoSpacing"/>
    <w:uiPriority w:val="99"/>
    <w:rsid w:val="001C734B"/>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1C734B"/>
    <w:pPr>
      <w:spacing w:line="240" w:lineRule="auto"/>
    </w:pPr>
    <w:rPr>
      <w:sz w:val="20"/>
      <w:szCs w:val="20"/>
    </w:rPr>
  </w:style>
  <w:style w:type="paragraph" w:customStyle="1" w:styleId="BrusselsFootnotes">
    <w:name w:val="Brussels Footnotes"/>
    <w:next w:val="Normal"/>
    <w:semiHidden/>
    <w:rsid w:val="001C734B"/>
    <w:rPr>
      <w:rFonts w:ascii="Arial" w:hAnsi="Arial" w:cs="Simplified Arabic"/>
      <w:caps/>
      <w:spacing w:val="10"/>
      <w:sz w:val="8"/>
      <w:szCs w:val="8"/>
      <w:lang w:bidi="ar-AE"/>
    </w:rPr>
  </w:style>
  <w:style w:type="paragraph" w:customStyle="1" w:styleId="BrusselsNames">
    <w:name w:val="Brussels Names"/>
    <w:next w:val="Normal"/>
    <w:semiHidden/>
    <w:rsid w:val="001C734B"/>
    <w:rPr>
      <w:rFonts w:ascii="Arial" w:hAnsi="Arial" w:cs="Simplified Arabic"/>
      <w:b/>
      <w:caps/>
      <w:spacing w:val="10"/>
      <w:sz w:val="10"/>
      <w:szCs w:val="10"/>
      <w:lang w:bidi="ar-AE"/>
    </w:rPr>
  </w:style>
  <w:style w:type="paragraph" w:customStyle="1" w:styleId="BrusselsSuperscript">
    <w:name w:val="Brussels Superscript"/>
    <w:next w:val="Normal"/>
    <w:semiHidden/>
    <w:rsid w:val="001C734B"/>
    <w:rPr>
      <w:rFonts w:ascii="Arial" w:hAnsi="Arial" w:cs="Simplified Arabic"/>
      <w:b/>
      <w:spacing w:val="10"/>
      <w:sz w:val="12"/>
      <w:szCs w:val="12"/>
      <w:vertAlign w:val="superscript"/>
      <w:lang w:bidi="ar-AE"/>
    </w:rPr>
  </w:style>
  <w:style w:type="paragraph" w:customStyle="1" w:styleId="ParagraphL4">
    <w:name w:val="Paragraph L4"/>
    <w:basedOn w:val="Normal"/>
    <w:next w:val="BodyText4"/>
    <w:rsid w:val="001C734B"/>
    <w:pPr>
      <w:numPr>
        <w:ilvl w:val="3"/>
        <w:numId w:val="1"/>
      </w:numPr>
      <w:outlineLvl w:val="3"/>
    </w:pPr>
  </w:style>
  <w:style w:type="paragraph" w:customStyle="1" w:styleId="ParagraphL3">
    <w:name w:val="Paragraph L3"/>
    <w:basedOn w:val="Normal"/>
    <w:next w:val="BodyText3"/>
    <w:rsid w:val="001C734B"/>
    <w:pPr>
      <w:numPr>
        <w:ilvl w:val="2"/>
        <w:numId w:val="1"/>
      </w:numPr>
      <w:outlineLvl w:val="2"/>
    </w:pPr>
  </w:style>
  <w:style w:type="paragraph" w:customStyle="1" w:styleId="ParagraphL2">
    <w:name w:val="Paragraph L2"/>
    <w:basedOn w:val="Normal"/>
    <w:next w:val="BodyText2"/>
    <w:rsid w:val="001C734B"/>
    <w:pPr>
      <w:numPr>
        <w:ilvl w:val="1"/>
        <w:numId w:val="1"/>
      </w:numPr>
      <w:outlineLvl w:val="1"/>
    </w:pPr>
  </w:style>
  <w:style w:type="paragraph" w:customStyle="1" w:styleId="ParagraphL1">
    <w:name w:val="Paragraph L1"/>
    <w:basedOn w:val="Normal"/>
    <w:next w:val="BodyText1"/>
    <w:rsid w:val="001C734B"/>
    <w:pPr>
      <w:numPr>
        <w:numId w:val="1"/>
      </w:numPr>
      <w:outlineLvl w:val="0"/>
    </w:pPr>
  </w:style>
  <w:style w:type="character" w:styleId="PlaceholderText">
    <w:name w:val="Placeholder Text"/>
    <w:basedOn w:val="DefaultParagraphFont"/>
    <w:uiPriority w:val="99"/>
    <w:semiHidden/>
    <w:rsid w:val="001C734B"/>
    <w:rPr>
      <w:color w:val="808080"/>
      <w:lang w:bidi="ar-AE"/>
    </w:rPr>
  </w:style>
  <w:style w:type="paragraph" w:styleId="BalloonText">
    <w:name w:val="Balloon Text"/>
    <w:basedOn w:val="Normal"/>
    <w:link w:val="BalloonTextChar"/>
    <w:uiPriority w:val="99"/>
    <w:semiHidden/>
    <w:unhideWhenUsed/>
    <w:rsid w:val="001C7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60F"/>
    <w:rPr>
      <w:rFonts w:ascii="Tahoma" w:hAnsi="Tahoma" w:cs="Tahoma"/>
      <w:sz w:val="16"/>
      <w:szCs w:val="16"/>
      <w:lang w:bidi="ar-AE"/>
    </w:rPr>
  </w:style>
  <w:style w:type="character" w:customStyle="1" w:styleId="Style1">
    <w:name w:val="Style1"/>
    <w:basedOn w:val="DefaultParagraphFont"/>
    <w:uiPriority w:val="1"/>
    <w:rsid w:val="001C734B"/>
    <w:rPr>
      <w:color w:val="auto"/>
      <w:lang w:bidi="ar-AE"/>
    </w:rPr>
  </w:style>
  <w:style w:type="character" w:customStyle="1" w:styleId="Style2">
    <w:name w:val="Style2"/>
    <w:basedOn w:val="DefaultParagraphFont"/>
    <w:uiPriority w:val="1"/>
    <w:rsid w:val="001C734B"/>
    <w:rPr>
      <w:sz w:val="14"/>
      <w:szCs w:val="14"/>
      <w:lang w:bidi="ar-AE"/>
    </w:rPr>
  </w:style>
  <w:style w:type="paragraph" w:customStyle="1" w:styleId="KoreanLegalEntity">
    <w:name w:val="KoreanLegalEntity"/>
    <w:basedOn w:val="Normal"/>
    <w:next w:val="Normal"/>
    <w:semiHidden/>
    <w:rsid w:val="001C734B"/>
    <w:pPr>
      <w:spacing w:after="0"/>
      <w:jc w:val="left"/>
    </w:pPr>
    <w:rPr>
      <w:rFonts w:ascii="Batang" w:hAnsi="Batang"/>
      <w:b/>
      <w:bCs/>
      <w:caps/>
      <w:spacing w:val="6"/>
      <w:sz w:val="17"/>
      <w:szCs w:val="14"/>
    </w:rPr>
  </w:style>
  <w:style w:type="paragraph" w:customStyle="1" w:styleId="KoreanLegalEntityNB">
    <w:name w:val="KoreanLegalEntityNB"/>
    <w:basedOn w:val="KoreanLegalEntity"/>
    <w:semiHidden/>
    <w:rsid w:val="001C734B"/>
    <w:rPr>
      <w:b w:val="0"/>
    </w:rPr>
  </w:style>
  <w:style w:type="paragraph" w:customStyle="1" w:styleId="KoreanOfficeAddress">
    <w:name w:val="KoreanOfficeAddress"/>
    <w:next w:val="WebAddress"/>
    <w:semiHidden/>
    <w:rsid w:val="001C734B"/>
    <w:pPr>
      <w:spacing w:line="288" w:lineRule="auto"/>
    </w:pPr>
    <w:rPr>
      <w:rFonts w:ascii="Batang" w:hAnsi="Batang" w:cs="Simplified Arabic"/>
      <w:caps/>
      <w:spacing w:val="10"/>
      <w:sz w:val="14"/>
      <w:szCs w:val="14"/>
      <w:lang w:bidi="ar-AE"/>
    </w:rPr>
  </w:style>
  <w:style w:type="paragraph" w:customStyle="1" w:styleId="BodyText0">
    <w:name w:val="#BodyText"/>
    <w:basedOn w:val="Normal"/>
    <w:link w:val="BodyTextChar0"/>
    <w:qFormat/>
    <w:rsid w:val="00B61D7B"/>
    <w:pPr>
      <w:spacing w:line="240" w:lineRule="auto"/>
    </w:pPr>
    <w:rPr>
      <w:rFonts w:ascii="Arial" w:eastAsia="Times New Roman" w:hAnsi="Arial" w:cs="Times New Roman"/>
      <w:sz w:val="20"/>
      <w:szCs w:val="20"/>
      <w:lang w:eastAsia="en-CA" w:bidi="ar-SA"/>
    </w:rPr>
  </w:style>
  <w:style w:type="character" w:customStyle="1" w:styleId="BodyTextChar0">
    <w:name w:val="#BodyText Char"/>
    <w:basedOn w:val="DefaultParagraphFont"/>
    <w:link w:val="BodyText0"/>
    <w:rsid w:val="00B61D7B"/>
    <w:rPr>
      <w:rFonts w:ascii="Arial" w:eastAsia="Times New Roman" w:hAnsi="Arial"/>
      <w:lang w:eastAsia="en-CA"/>
    </w:rPr>
  </w:style>
  <w:style w:type="paragraph" w:styleId="Revision">
    <w:name w:val="Revision"/>
    <w:hidden/>
    <w:uiPriority w:val="99"/>
    <w:semiHidden/>
    <w:rsid w:val="00E621B8"/>
    <w:rPr>
      <w:rFonts w:cs="Simplified Arabic"/>
      <w:sz w:val="24"/>
      <w:szCs w:val="24"/>
      <w:lang w:bidi="ar-AE"/>
    </w:rPr>
  </w:style>
  <w:style w:type="character" w:styleId="Hyperlink">
    <w:name w:val="Hyperlink"/>
    <w:basedOn w:val="DefaultParagraphFont"/>
    <w:uiPriority w:val="99"/>
    <w:unhideWhenUsed/>
    <w:rsid w:val="008D6EFC"/>
    <w:rPr>
      <w:color w:val="0000FF" w:themeColor="hyperlink"/>
      <w:u w:val="single"/>
    </w:rPr>
  </w:style>
  <w:style w:type="character" w:styleId="UnresolvedMention">
    <w:name w:val="Unresolved Mention"/>
    <w:basedOn w:val="DefaultParagraphFont"/>
    <w:uiPriority w:val="99"/>
    <w:semiHidden/>
    <w:unhideWhenUsed/>
    <w:rsid w:val="008D6EFC"/>
    <w:rPr>
      <w:color w:val="605E5C"/>
      <w:shd w:val="clear" w:color="auto" w:fill="E1DFDD"/>
    </w:rPr>
  </w:style>
  <w:style w:type="character" w:styleId="FollowedHyperlink">
    <w:name w:val="FollowedHyperlink"/>
    <w:basedOn w:val="DefaultParagraphFont"/>
    <w:uiPriority w:val="99"/>
    <w:semiHidden/>
    <w:unhideWhenUsed/>
    <w:rsid w:val="00977214"/>
    <w:rPr>
      <w:color w:val="800080" w:themeColor="followedHyperlink"/>
      <w:u w:val="single"/>
    </w:rPr>
  </w:style>
  <w:style w:type="paragraph" w:customStyle="1" w:styleId="Body">
    <w:name w:val="Body"/>
    <w:basedOn w:val="Normal"/>
    <w:rsid w:val="00BC43BC"/>
    <w:pPr>
      <w:spacing w:after="140"/>
    </w:pPr>
    <w:rPr>
      <w:rFonts w:ascii="Arial" w:eastAsiaTheme="minorHAnsi" w:hAnsi="Arial" w:cs="Times New Roman"/>
      <w:kern w:val="20"/>
      <w:sz w:val="20"/>
      <w:szCs w:val="22"/>
      <w:lang w:eastAsia="en-US" w:bidi="ar-SA"/>
    </w:rPr>
  </w:style>
  <w:style w:type="paragraph" w:customStyle="1" w:styleId="Body1">
    <w:name w:val="Body 1"/>
    <w:basedOn w:val="Normal"/>
    <w:rsid w:val="00BC43BC"/>
    <w:pPr>
      <w:spacing w:after="140"/>
      <w:ind w:left="680"/>
    </w:pPr>
    <w:rPr>
      <w:rFonts w:ascii="Arial" w:eastAsiaTheme="minorHAnsi" w:hAnsi="Arial" w:cs="Times New Roman"/>
      <w:kern w:val="20"/>
      <w:sz w:val="20"/>
      <w:szCs w:val="22"/>
      <w:lang w:eastAsia="en-US" w:bidi="ar-SA"/>
    </w:rPr>
  </w:style>
  <w:style w:type="paragraph" w:customStyle="1" w:styleId="roman1">
    <w:name w:val="roman 1"/>
    <w:basedOn w:val="Normal"/>
    <w:rsid w:val="00004219"/>
    <w:pPr>
      <w:numPr>
        <w:numId w:val="34"/>
      </w:numPr>
      <w:spacing w:after="140"/>
      <w:outlineLvl w:val="0"/>
    </w:pPr>
    <w:rPr>
      <w:rFonts w:ascii="Arial" w:eastAsiaTheme="minorHAnsi" w:hAnsi="Arial" w:cs="Times New Roman"/>
      <w:kern w:val="20"/>
      <w:sz w:val="20"/>
      <w:szCs w:val="22"/>
      <w:lang w:eastAsia="en-US" w:bidi="ar-SA"/>
    </w:rPr>
  </w:style>
  <w:style w:type="paragraph" w:customStyle="1" w:styleId="roman2">
    <w:name w:val="roman 2"/>
    <w:basedOn w:val="Normal"/>
    <w:rsid w:val="00004219"/>
    <w:pPr>
      <w:numPr>
        <w:ilvl w:val="1"/>
        <w:numId w:val="34"/>
      </w:numPr>
      <w:spacing w:after="140"/>
      <w:outlineLvl w:val="1"/>
    </w:pPr>
    <w:rPr>
      <w:rFonts w:ascii="Arial" w:eastAsiaTheme="minorHAnsi" w:hAnsi="Arial" w:cs="Times New Roman"/>
      <w:kern w:val="20"/>
      <w:sz w:val="20"/>
      <w:szCs w:val="22"/>
      <w:lang w:eastAsia="en-US" w:bidi="ar-SA"/>
    </w:rPr>
  </w:style>
  <w:style w:type="paragraph" w:customStyle="1" w:styleId="roman3">
    <w:name w:val="roman 3"/>
    <w:basedOn w:val="Normal"/>
    <w:rsid w:val="00004219"/>
    <w:pPr>
      <w:numPr>
        <w:ilvl w:val="2"/>
        <w:numId w:val="34"/>
      </w:numPr>
      <w:spacing w:after="140"/>
      <w:outlineLvl w:val="2"/>
    </w:pPr>
    <w:rPr>
      <w:rFonts w:ascii="Arial" w:eastAsiaTheme="minorHAnsi" w:hAnsi="Arial" w:cs="Times New Roman"/>
      <w:kern w:val="20"/>
      <w:sz w:val="20"/>
      <w:szCs w:val="22"/>
      <w:lang w:eastAsia="en-US" w:bidi="ar-SA"/>
    </w:rPr>
  </w:style>
  <w:style w:type="paragraph" w:customStyle="1" w:styleId="roman4">
    <w:name w:val="roman 4"/>
    <w:basedOn w:val="Normal"/>
    <w:rsid w:val="00004219"/>
    <w:pPr>
      <w:numPr>
        <w:ilvl w:val="3"/>
        <w:numId w:val="34"/>
      </w:numPr>
      <w:spacing w:after="140"/>
      <w:outlineLvl w:val="3"/>
    </w:pPr>
    <w:rPr>
      <w:rFonts w:ascii="Arial" w:eastAsiaTheme="minorHAnsi" w:hAnsi="Arial" w:cs="Times New Roman"/>
      <w:kern w:val="20"/>
      <w:sz w:val="20"/>
      <w:szCs w:val="22"/>
      <w:lang w:eastAsia="en-US" w:bidi="ar-SA"/>
    </w:rPr>
  </w:style>
  <w:style w:type="paragraph" w:customStyle="1" w:styleId="roman5">
    <w:name w:val="roman 5"/>
    <w:basedOn w:val="Normal"/>
    <w:rsid w:val="00004219"/>
    <w:pPr>
      <w:numPr>
        <w:ilvl w:val="4"/>
        <w:numId w:val="34"/>
      </w:numPr>
      <w:spacing w:after="140"/>
      <w:outlineLvl w:val="4"/>
    </w:pPr>
    <w:rPr>
      <w:rFonts w:ascii="Arial" w:eastAsiaTheme="minorHAnsi" w:hAnsi="Arial" w:cs="Times New Roman"/>
      <w:kern w:val="20"/>
      <w:sz w:val="20"/>
      <w:szCs w:val="22"/>
      <w:lang w:eastAsia="en-US" w:bidi="ar-SA"/>
    </w:rPr>
  </w:style>
  <w:style w:type="paragraph" w:customStyle="1" w:styleId="roman6">
    <w:name w:val="roman 6"/>
    <w:basedOn w:val="Normal"/>
    <w:rsid w:val="00004219"/>
    <w:pPr>
      <w:numPr>
        <w:ilvl w:val="5"/>
        <w:numId w:val="34"/>
      </w:numPr>
      <w:spacing w:after="140"/>
      <w:outlineLvl w:val="5"/>
    </w:pPr>
    <w:rPr>
      <w:rFonts w:ascii="Arial" w:eastAsiaTheme="minorHAnsi" w:hAnsi="Arial" w:cs="Times New Roman"/>
      <w:kern w:val="20"/>
      <w:sz w:val="20"/>
      <w:szCs w:val="22"/>
      <w:lang w:eastAsia="en-US" w:bidi="ar-SA"/>
    </w:rPr>
  </w:style>
  <w:style w:type="numbering" w:customStyle="1" w:styleId="LLroman">
    <w:name w:val="LL_roman"/>
    <w:uiPriority w:val="99"/>
    <w:rsid w:val="00004219"/>
    <w:pPr>
      <w:numPr>
        <w:numId w:val="34"/>
      </w:numPr>
    </w:pPr>
  </w:style>
  <w:style w:type="numbering" w:styleId="ArticleSection">
    <w:name w:val="Outline List 3"/>
    <w:basedOn w:val="NoList"/>
    <w:uiPriority w:val="99"/>
    <w:semiHidden/>
    <w:unhideWhenUsed/>
    <w:rsid w:val="00E22666"/>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3258">
      <w:bodyDiv w:val="1"/>
      <w:marLeft w:val="0"/>
      <w:marRight w:val="0"/>
      <w:marTop w:val="0"/>
      <w:marBottom w:val="0"/>
      <w:divBdr>
        <w:top w:val="none" w:sz="0" w:space="0" w:color="auto"/>
        <w:left w:val="none" w:sz="0" w:space="0" w:color="auto"/>
        <w:bottom w:val="none" w:sz="0" w:space="0" w:color="auto"/>
        <w:right w:val="none" w:sz="0" w:space="0" w:color="auto"/>
      </w:divBdr>
    </w:div>
    <w:div w:id="201793312">
      <w:bodyDiv w:val="1"/>
      <w:marLeft w:val="0"/>
      <w:marRight w:val="0"/>
      <w:marTop w:val="0"/>
      <w:marBottom w:val="0"/>
      <w:divBdr>
        <w:top w:val="none" w:sz="0" w:space="0" w:color="auto"/>
        <w:left w:val="none" w:sz="0" w:space="0" w:color="auto"/>
        <w:bottom w:val="none" w:sz="0" w:space="0" w:color="auto"/>
        <w:right w:val="none" w:sz="0" w:space="0" w:color="auto"/>
      </w:divBdr>
    </w:div>
    <w:div w:id="224293078">
      <w:bodyDiv w:val="1"/>
      <w:marLeft w:val="0"/>
      <w:marRight w:val="0"/>
      <w:marTop w:val="0"/>
      <w:marBottom w:val="0"/>
      <w:divBdr>
        <w:top w:val="none" w:sz="0" w:space="0" w:color="auto"/>
        <w:left w:val="none" w:sz="0" w:space="0" w:color="auto"/>
        <w:bottom w:val="none" w:sz="0" w:space="0" w:color="auto"/>
        <w:right w:val="none" w:sz="0" w:space="0" w:color="auto"/>
      </w:divBdr>
    </w:div>
    <w:div w:id="494566676">
      <w:bodyDiv w:val="1"/>
      <w:marLeft w:val="0"/>
      <w:marRight w:val="0"/>
      <w:marTop w:val="0"/>
      <w:marBottom w:val="0"/>
      <w:divBdr>
        <w:top w:val="none" w:sz="0" w:space="0" w:color="auto"/>
        <w:left w:val="none" w:sz="0" w:space="0" w:color="auto"/>
        <w:bottom w:val="none" w:sz="0" w:space="0" w:color="auto"/>
        <w:right w:val="none" w:sz="0" w:space="0" w:color="auto"/>
      </w:divBdr>
    </w:div>
    <w:div w:id="678042628">
      <w:bodyDiv w:val="1"/>
      <w:marLeft w:val="0"/>
      <w:marRight w:val="0"/>
      <w:marTop w:val="0"/>
      <w:marBottom w:val="0"/>
      <w:divBdr>
        <w:top w:val="none" w:sz="0" w:space="0" w:color="auto"/>
        <w:left w:val="none" w:sz="0" w:space="0" w:color="auto"/>
        <w:bottom w:val="none" w:sz="0" w:space="0" w:color="auto"/>
        <w:right w:val="none" w:sz="0" w:space="0" w:color="auto"/>
      </w:divBdr>
    </w:div>
    <w:div w:id="717556354">
      <w:bodyDiv w:val="1"/>
      <w:marLeft w:val="0"/>
      <w:marRight w:val="0"/>
      <w:marTop w:val="0"/>
      <w:marBottom w:val="0"/>
      <w:divBdr>
        <w:top w:val="none" w:sz="0" w:space="0" w:color="auto"/>
        <w:left w:val="none" w:sz="0" w:space="0" w:color="auto"/>
        <w:bottom w:val="none" w:sz="0" w:space="0" w:color="auto"/>
        <w:right w:val="none" w:sz="0" w:space="0" w:color="auto"/>
      </w:divBdr>
    </w:div>
    <w:div w:id="1125661024">
      <w:bodyDiv w:val="1"/>
      <w:marLeft w:val="0"/>
      <w:marRight w:val="0"/>
      <w:marTop w:val="0"/>
      <w:marBottom w:val="0"/>
      <w:divBdr>
        <w:top w:val="none" w:sz="0" w:space="0" w:color="auto"/>
        <w:left w:val="none" w:sz="0" w:space="0" w:color="auto"/>
        <w:bottom w:val="none" w:sz="0" w:space="0" w:color="auto"/>
        <w:right w:val="none" w:sz="0" w:space="0" w:color="auto"/>
      </w:divBdr>
    </w:div>
    <w:div w:id="1311788418">
      <w:bodyDiv w:val="1"/>
      <w:marLeft w:val="0"/>
      <w:marRight w:val="0"/>
      <w:marTop w:val="0"/>
      <w:marBottom w:val="0"/>
      <w:divBdr>
        <w:top w:val="none" w:sz="0" w:space="0" w:color="auto"/>
        <w:left w:val="none" w:sz="0" w:space="0" w:color="auto"/>
        <w:bottom w:val="none" w:sz="0" w:space="0" w:color="auto"/>
        <w:right w:val="none" w:sz="0" w:space="0" w:color="auto"/>
      </w:divBdr>
    </w:div>
    <w:div w:id="1502425421">
      <w:bodyDiv w:val="1"/>
      <w:marLeft w:val="0"/>
      <w:marRight w:val="0"/>
      <w:marTop w:val="0"/>
      <w:marBottom w:val="0"/>
      <w:divBdr>
        <w:top w:val="none" w:sz="0" w:space="0" w:color="auto"/>
        <w:left w:val="none" w:sz="0" w:space="0" w:color="auto"/>
        <w:bottom w:val="none" w:sz="0" w:space="0" w:color="auto"/>
        <w:right w:val="none" w:sz="0" w:space="0" w:color="auto"/>
      </w:divBdr>
    </w:div>
    <w:div w:id="1525485730">
      <w:bodyDiv w:val="1"/>
      <w:marLeft w:val="0"/>
      <w:marRight w:val="0"/>
      <w:marTop w:val="0"/>
      <w:marBottom w:val="0"/>
      <w:divBdr>
        <w:top w:val="none" w:sz="0" w:space="0" w:color="auto"/>
        <w:left w:val="none" w:sz="0" w:space="0" w:color="auto"/>
        <w:bottom w:val="none" w:sz="0" w:space="0" w:color="auto"/>
        <w:right w:val="none" w:sz="0" w:space="0" w:color="auto"/>
      </w:divBdr>
    </w:div>
    <w:div w:id="1584954473">
      <w:bodyDiv w:val="1"/>
      <w:marLeft w:val="0"/>
      <w:marRight w:val="0"/>
      <w:marTop w:val="0"/>
      <w:marBottom w:val="0"/>
      <w:divBdr>
        <w:top w:val="none" w:sz="0" w:space="0" w:color="auto"/>
        <w:left w:val="none" w:sz="0" w:space="0" w:color="auto"/>
        <w:bottom w:val="none" w:sz="0" w:space="0" w:color="auto"/>
        <w:right w:val="none" w:sz="0" w:space="0" w:color="auto"/>
      </w:divBdr>
    </w:div>
    <w:div w:id="1627159999">
      <w:bodyDiv w:val="1"/>
      <w:marLeft w:val="0"/>
      <w:marRight w:val="0"/>
      <w:marTop w:val="0"/>
      <w:marBottom w:val="0"/>
      <w:divBdr>
        <w:top w:val="none" w:sz="0" w:space="0" w:color="auto"/>
        <w:left w:val="none" w:sz="0" w:space="0" w:color="auto"/>
        <w:bottom w:val="none" w:sz="0" w:space="0" w:color="auto"/>
        <w:right w:val="none" w:sz="0" w:space="0" w:color="auto"/>
      </w:divBdr>
    </w:div>
    <w:div w:id="1720402568">
      <w:bodyDiv w:val="1"/>
      <w:marLeft w:val="0"/>
      <w:marRight w:val="0"/>
      <w:marTop w:val="0"/>
      <w:marBottom w:val="0"/>
      <w:divBdr>
        <w:top w:val="none" w:sz="0" w:space="0" w:color="auto"/>
        <w:left w:val="none" w:sz="0" w:space="0" w:color="auto"/>
        <w:bottom w:val="none" w:sz="0" w:space="0" w:color="auto"/>
        <w:right w:val="none" w:sz="0" w:space="0" w:color="auto"/>
      </w:divBdr>
    </w:div>
    <w:div w:id="2057049979">
      <w:bodyDiv w:val="1"/>
      <w:marLeft w:val="0"/>
      <w:marRight w:val="0"/>
      <w:marTop w:val="0"/>
      <w:marBottom w:val="0"/>
      <w:divBdr>
        <w:top w:val="none" w:sz="0" w:space="0" w:color="auto"/>
        <w:left w:val="none" w:sz="0" w:space="0" w:color="auto"/>
        <w:bottom w:val="none" w:sz="0" w:space="0" w:color="auto"/>
        <w:right w:val="none" w:sz="0" w:space="0" w:color="auto"/>
      </w:divBdr>
    </w:div>
    <w:div w:id="21317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db.com/legal-resources/european-market-infrastructure-regulation/clearing-and-account-segregation"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b.com/legal-resources/european-market-infrastructure-regulation/clearing-and-account-segreg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26e907d-107d-4bb6-a2f8-f0a40442c1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B6CC55F4174F4BBEE56587E20C9E94" ma:contentTypeVersion="14" ma:contentTypeDescription="Create a new document." ma:contentTypeScope="" ma:versionID="f042b2a0cd3e42a39bc211d977ab8f41">
  <xsd:schema xmlns:xsd="http://www.w3.org/2001/XMLSchema" xmlns:xs="http://www.w3.org/2001/XMLSchema" xmlns:p="http://schemas.microsoft.com/office/2006/metadata/properties" xmlns:ns3="826e907d-107d-4bb6-a2f8-f0a40442c182" xmlns:ns4="b9a6b86c-ac87-4588-b035-b60b5e33d5af" targetNamespace="http://schemas.microsoft.com/office/2006/metadata/properties" ma:root="true" ma:fieldsID="e376e20207ba2310170e50d666c90c84" ns3:_="" ns4:_="">
    <xsd:import namespace="826e907d-107d-4bb6-a2f8-f0a40442c182"/>
    <xsd:import namespace="b9a6b86c-ac87-4588-b035-b60b5e33d5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e907d-107d-4bb6-a2f8-f0a40442c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6b86c-ac87-4588-b035-b60b5e33d5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7B04B-1050-42B5-AC5B-F181A917C27B}">
  <ds:schemaRefs>
    <ds:schemaRef ds:uri="http://schemas.openxmlformats.org/officeDocument/2006/bibliography"/>
  </ds:schemaRefs>
</ds:datastoreItem>
</file>

<file path=customXml/itemProps2.xml><?xml version="1.0" encoding="utf-8"?>
<ds:datastoreItem xmlns:ds="http://schemas.openxmlformats.org/officeDocument/2006/customXml" ds:itemID="{7C99DBC1-A51B-4181-935A-5AF58A8415D0}">
  <ds:schemaRefs>
    <ds:schemaRef ds:uri="http://schemas.microsoft.com/office/2006/metadata/properties"/>
    <ds:schemaRef ds:uri="http://schemas.microsoft.com/office/infopath/2007/PartnerControls"/>
    <ds:schemaRef ds:uri="826e907d-107d-4bb6-a2f8-f0a40442c182"/>
  </ds:schemaRefs>
</ds:datastoreItem>
</file>

<file path=customXml/itemProps3.xml><?xml version="1.0" encoding="utf-8"?>
<ds:datastoreItem xmlns:ds="http://schemas.openxmlformats.org/officeDocument/2006/customXml" ds:itemID="{EB77AB6C-453E-4749-9F3D-8241ACD5EF47}">
  <ds:schemaRefs>
    <ds:schemaRef ds:uri="http://schemas.microsoft.com/sharepoint/v3/contenttype/forms"/>
  </ds:schemaRefs>
</ds:datastoreItem>
</file>

<file path=customXml/itemProps4.xml><?xml version="1.0" encoding="utf-8"?>
<ds:datastoreItem xmlns:ds="http://schemas.openxmlformats.org/officeDocument/2006/customXml" ds:itemID="{B5AC7B7A-930B-489E-AC07-6A4D5968B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e907d-107d-4bb6-a2f8-f0a40442c182"/>
    <ds:schemaRef ds:uri="b9a6b86c-ac87-4588-b035-b60b5e33d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letter.dotm</Template>
  <TotalTime>0</TotalTime>
  <Pages>32</Pages>
  <Words>5643</Words>
  <Characters>32171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CCPR and EMIR Clearing Member Disclosure Document</vt:lpstr>
    </vt:vector>
  </TitlesOfParts>
  <Company/>
  <LinksUpToDate>false</LinksUpToDate>
  <CharactersWithSpaces>37739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 and EMIR Clearing Member Disclosure Document</dc:title>
  <dc:creator>Deutsche Bank AG</dc:creator>
  <cp:keywords>Public</cp:keywords>
  <cp:lastModifiedBy>Jacques Regnier</cp:lastModifiedBy>
  <cp:revision>3</cp:revision>
  <cp:lastPrinted>2025-01-10T16:38:00Z</cp:lastPrinted>
  <dcterms:created xsi:type="dcterms:W3CDTF">2025-01-10T18:00:00Z</dcterms:created>
  <dcterms:modified xsi:type="dcterms:W3CDTF">2025-01-13T11:27:00Z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ocumentLocation">
    <vt:lpwstr>C:\Users\mgosling\AppData\Local\Linklaters\DocExplorer\Attachments\FIA Template CCPR Client Notification.docx</vt:lpwstr>
  </property>
  <property fmtid="{D5CDD505-2E9C-101B-9397-08002B2CF9AE}" pid="3" name="Document Number">
    <vt:lpwstr>A49356820</vt:lpwstr>
  </property>
  <property fmtid="{D5CDD505-2E9C-101B-9397-08002B2CF9AE}" pid="4" name="Last Modified">
    <vt:lpwstr>21 Mar 2023</vt:lpwstr>
  </property>
  <property fmtid="{D5CDD505-2E9C-101B-9397-08002B2CF9AE}" pid="5" name="Mode">
    <vt:lpwstr>SendAs</vt:lpwstr>
  </property>
  <property fmtid="{D5CDD505-2E9C-101B-9397-08002B2CF9AE}" pid="6" name="Version">
    <vt:lpwstr>4.0</vt:lpwstr>
  </property>
  <property fmtid="{D5CDD505-2E9C-101B-9397-08002B2CF9AE}" pid="7" name="Client Code">
    <vt:lpwstr>10032234</vt:lpwstr>
  </property>
  <property fmtid="{D5CDD505-2E9C-101B-9397-08002B2CF9AE}" pid="8" name="Matter Number">
    <vt:lpwstr>L-283745</vt:lpwstr>
  </property>
  <property fmtid="{D5CDD505-2E9C-101B-9397-08002B2CF9AE}" pid="9" name="ObjectID">
    <vt:lpwstr>09001dc898736fed</vt:lpwstr>
  </property>
  <property fmtid="{D5CDD505-2E9C-101B-9397-08002B2CF9AE}" pid="10" name="_MarkAsFinal">
    <vt:bool>false</vt:bool>
  </property>
  <property fmtid="{D5CDD505-2E9C-101B-9397-08002B2CF9AE}" pid="11" name="MSIP_Label_1b7f8449-e5d3-4eba-8da7-ffd6ca5bf3e9_Enabled">
    <vt:lpwstr>true</vt:lpwstr>
  </property>
  <property fmtid="{D5CDD505-2E9C-101B-9397-08002B2CF9AE}" pid="12" name="MSIP_Label_1b7f8449-e5d3-4eba-8da7-ffd6ca5bf3e9_SetDate">
    <vt:lpwstr>2023-11-08T15:15:21Z</vt:lpwstr>
  </property>
  <property fmtid="{D5CDD505-2E9C-101B-9397-08002B2CF9AE}" pid="13" name="MSIP_Label_1b7f8449-e5d3-4eba-8da7-ffd6ca5bf3e9_Method">
    <vt:lpwstr>Privileged</vt:lpwstr>
  </property>
  <property fmtid="{D5CDD505-2E9C-101B-9397-08002B2CF9AE}" pid="14" name="MSIP_Label_1b7f8449-e5d3-4eba-8da7-ffd6ca5bf3e9_Name">
    <vt:lpwstr>1b7f8449-e5d3-4eba-8da7-ffd6ca5bf3e9</vt:lpwstr>
  </property>
  <property fmtid="{D5CDD505-2E9C-101B-9397-08002B2CF9AE}" pid="15" name="MSIP_Label_1b7f8449-e5d3-4eba-8da7-ffd6ca5bf3e9_SiteId">
    <vt:lpwstr>1e9b61e8-e590-4abc-b1af-24125e330d2a</vt:lpwstr>
  </property>
  <property fmtid="{D5CDD505-2E9C-101B-9397-08002B2CF9AE}" pid="16" name="MSIP_Label_1b7f8449-e5d3-4eba-8da7-ffd6ca5bf3e9_ActionId">
    <vt:lpwstr>1bc69536-58d5-41e0-ad3d-9125995f7d42</vt:lpwstr>
  </property>
  <property fmtid="{D5CDD505-2E9C-101B-9397-08002B2CF9AE}" pid="17" name="MSIP_Label_1b7f8449-e5d3-4eba-8da7-ffd6ca5bf3e9_ContentBits">
    <vt:lpwstr>0</vt:lpwstr>
  </property>
  <property fmtid="{D5CDD505-2E9C-101B-9397-08002B2CF9AE}" pid="18" name="db.comClassification">
    <vt:lpwstr>External Communication</vt:lpwstr>
  </property>
  <property fmtid="{D5CDD505-2E9C-101B-9397-08002B2CF9AE}" pid="19" name="ContentTypeId">
    <vt:lpwstr>0x010100ADB6CC55F4174F4BBEE56587E20C9E94</vt:lpwstr>
  </property>
</Properties>
</file>